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6E" w:rsidRDefault="0048756E" w:rsidP="00487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Экспериментальные исследования</w:t>
      </w:r>
      <w:r w:rsidRPr="00764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динамики </w:t>
      </w:r>
      <w:r w:rsidRPr="00764235">
        <w:rPr>
          <w:rFonts w:ascii="Times New Roman" w:hAnsi="Times New Roman" w:cs="Times New Roman"/>
          <w:sz w:val="24"/>
          <w:szCs w:val="24"/>
        </w:rPr>
        <w:t xml:space="preserve">концентрации тяжелых металлов в </w:t>
      </w:r>
      <w:r>
        <w:rPr>
          <w:rFonts w:ascii="Times New Roman" w:hAnsi="Times New Roman" w:cs="Times New Roman"/>
          <w:sz w:val="24"/>
          <w:szCs w:val="24"/>
        </w:rPr>
        <w:t>поверхностном слое воды в Таганрогском заливе</w:t>
      </w:r>
    </w:p>
    <w:p w:rsidR="00764235" w:rsidRPr="00764235" w:rsidRDefault="00764235" w:rsidP="00764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Вишневецкий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</w:t>
      </w:r>
      <w:proofErr w:type="spellEnd"/>
      <w:r>
        <w:rPr>
          <w:rFonts w:ascii="Times New Roman" w:hAnsi="Times New Roman" w:cs="Times New Roman"/>
          <w:sz w:val="24"/>
          <w:szCs w:val="24"/>
        </w:rPr>
        <w:t>. Ледяева</w:t>
      </w:r>
    </w:p>
    <w:p w:rsidR="00AC34E0" w:rsidRDefault="00AC34E0" w:rsidP="00AC3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Южный федеральный университет, факультет электроники и приборостроения</w:t>
      </w:r>
    </w:p>
    <w:p w:rsidR="00764235" w:rsidRPr="00764235" w:rsidRDefault="00764235" w:rsidP="00764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235" w:rsidRPr="00764235" w:rsidRDefault="00764235" w:rsidP="007642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235">
        <w:rPr>
          <w:rFonts w:ascii="Times New Roman" w:hAnsi="Times New Roman" w:cs="Times New Roman"/>
          <w:sz w:val="24"/>
          <w:szCs w:val="24"/>
        </w:rPr>
        <w:t xml:space="preserve">Таганрогский залив – расположен в северо-восточной части Азовского моря и является его крупнейшим и наиболее изолированным заливом. Таганрогский залив отделён от моря косами </w:t>
      </w:r>
      <w:proofErr w:type="gramStart"/>
      <w:r w:rsidRPr="00764235">
        <w:rPr>
          <w:rFonts w:ascii="Times New Roman" w:hAnsi="Times New Roman" w:cs="Times New Roman"/>
          <w:sz w:val="24"/>
          <w:szCs w:val="24"/>
        </w:rPr>
        <w:t>Долгой</w:t>
      </w:r>
      <w:proofErr w:type="gramEnd"/>
      <w:r w:rsidRPr="007642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4235">
        <w:rPr>
          <w:rFonts w:ascii="Times New Roman" w:hAnsi="Times New Roman" w:cs="Times New Roman"/>
          <w:sz w:val="24"/>
          <w:szCs w:val="24"/>
        </w:rPr>
        <w:t>Белосарайской</w:t>
      </w:r>
      <w:proofErr w:type="spellEnd"/>
      <w:r w:rsidRPr="00764235">
        <w:rPr>
          <w:rFonts w:ascii="Times New Roman" w:hAnsi="Times New Roman" w:cs="Times New Roman"/>
          <w:sz w:val="24"/>
          <w:szCs w:val="24"/>
        </w:rPr>
        <w:t xml:space="preserve">. Длина залива составляет около 140 км, ширина у входа 31 км. Таганрогский залив мелководнее, чем Азовское море и имеет очень ровный рельеф дна. Его средняя глубина составляет 4,9 м, объём 25 км³. Площадь Таганрогского залива 5600 км². Как правило, замерзает с декабря по март, хотя в мягкие зимы может почти не замерзать совсем. Для залива характерны </w:t>
      </w:r>
      <w:proofErr w:type="spellStart"/>
      <w:r w:rsidRPr="00764235">
        <w:rPr>
          <w:rFonts w:ascii="Times New Roman" w:hAnsi="Times New Roman" w:cs="Times New Roman"/>
          <w:sz w:val="24"/>
          <w:szCs w:val="24"/>
        </w:rPr>
        <w:t>шееобразные</w:t>
      </w:r>
      <w:proofErr w:type="spellEnd"/>
      <w:r w:rsidRPr="00764235">
        <w:rPr>
          <w:rFonts w:ascii="Times New Roman" w:hAnsi="Times New Roman" w:cs="Times New Roman"/>
          <w:sz w:val="24"/>
          <w:szCs w:val="24"/>
        </w:rPr>
        <w:t xml:space="preserve"> течения с суточным периодом, направленные днем к реке, а ночью в море, вызывающие суточные колебания уровня, достигающие у Таганрога амплитуды 50-80 см. При сильном ветре такие колебания исчезают.</w:t>
      </w:r>
    </w:p>
    <w:p w:rsidR="00764235" w:rsidRPr="00764235" w:rsidRDefault="00764235" w:rsidP="00764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2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72F42C" wp14:editId="450DF89A">
            <wp:extent cx="4554747" cy="2751836"/>
            <wp:effectExtent l="0" t="0" r="0" b="0"/>
            <wp:docPr id="2" name="Рисунок 1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0506" cy="275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235" w:rsidRPr="00764235" w:rsidRDefault="00764235" w:rsidP="00764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235">
        <w:rPr>
          <w:rFonts w:ascii="Times New Roman" w:hAnsi="Times New Roman" w:cs="Times New Roman"/>
          <w:sz w:val="24"/>
          <w:szCs w:val="24"/>
        </w:rPr>
        <w:t>Рисунок 1 – Карта Таганрогского залива с исследуемыми точками отбора проб</w:t>
      </w:r>
    </w:p>
    <w:p w:rsidR="00764235" w:rsidRPr="00764235" w:rsidRDefault="00764235" w:rsidP="00764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235" w:rsidRPr="00764235" w:rsidRDefault="00764235" w:rsidP="007642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235">
        <w:rPr>
          <w:rFonts w:ascii="Times New Roman" w:hAnsi="Times New Roman" w:cs="Times New Roman"/>
          <w:sz w:val="24"/>
          <w:szCs w:val="24"/>
        </w:rPr>
        <w:t xml:space="preserve">В Таганрогский залив впадают реки Дон, </w:t>
      </w:r>
      <w:proofErr w:type="spellStart"/>
      <w:r w:rsidRPr="00764235">
        <w:rPr>
          <w:rFonts w:ascii="Times New Roman" w:hAnsi="Times New Roman" w:cs="Times New Roman"/>
          <w:sz w:val="24"/>
          <w:szCs w:val="24"/>
        </w:rPr>
        <w:t>Кальмиус</w:t>
      </w:r>
      <w:proofErr w:type="spellEnd"/>
      <w:r w:rsidRPr="007642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235">
        <w:rPr>
          <w:rFonts w:ascii="Times New Roman" w:hAnsi="Times New Roman" w:cs="Times New Roman"/>
          <w:sz w:val="24"/>
          <w:szCs w:val="24"/>
        </w:rPr>
        <w:t>Миус</w:t>
      </w:r>
      <w:proofErr w:type="spellEnd"/>
      <w:r w:rsidRPr="00764235">
        <w:rPr>
          <w:rFonts w:ascii="Times New Roman" w:hAnsi="Times New Roman" w:cs="Times New Roman"/>
          <w:sz w:val="24"/>
          <w:szCs w:val="24"/>
        </w:rPr>
        <w:t xml:space="preserve"> и Ея. Основной причиной возникновения течений является ветер, вызывающий течения, в основном, смешанного типа: непосредственно от воздействия ветрового поля на воду, так и образующиеся после сгонно-нагонного перемещения водных масс (компенсационного типа). Стоковые течения заметны только при штилевой погоде или ледовом покрове.</w:t>
      </w:r>
    </w:p>
    <w:p w:rsidR="00764235" w:rsidRPr="00764235" w:rsidRDefault="00F779C6" w:rsidP="007642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работах </w:t>
      </w:r>
      <w:r w:rsidRPr="00F779C6">
        <w:rPr>
          <w:rFonts w:ascii="Times New Roman" w:hAnsi="Times New Roman" w:cs="Times New Roman"/>
          <w:sz w:val="24"/>
          <w:szCs w:val="24"/>
        </w:rPr>
        <w:t xml:space="preserve">[1, 2]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система для </w:t>
      </w:r>
      <w:r w:rsidR="0048756E">
        <w:rPr>
          <w:rFonts w:ascii="Times New Roman" w:hAnsi="Times New Roman" w:cs="Times New Roman"/>
          <w:sz w:val="24"/>
          <w:szCs w:val="24"/>
        </w:rPr>
        <w:t xml:space="preserve">экологического мониторинга вод Таганрогского залива, использованная для сбора данных. </w:t>
      </w:r>
      <w:r w:rsidR="00764235" w:rsidRPr="00764235">
        <w:rPr>
          <w:rFonts w:ascii="Times New Roman" w:hAnsi="Times New Roman" w:cs="Times New Roman"/>
          <w:sz w:val="24"/>
          <w:szCs w:val="24"/>
        </w:rPr>
        <w:t>Рассмотрим динамику изменения концентрации тяжелых металлов по точкам отбора проб:</w:t>
      </w:r>
    </w:p>
    <w:p w:rsidR="00764235" w:rsidRPr="00764235" w:rsidRDefault="00764235" w:rsidP="007642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235">
        <w:rPr>
          <w:rFonts w:ascii="Times New Roman" w:hAnsi="Times New Roman" w:cs="Times New Roman"/>
          <w:sz w:val="24"/>
          <w:szCs w:val="24"/>
        </w:rPr>
        <w:t xml:space="preserve">Точка 259 – В районе влияния </w:t>
      </w:r>
      <w:proofErr w:type="spellStart"/>
      <w:r w:rsidRPr="00764235">
        <w:rPr>
          <w:rFonts w:ascii="Times New Roman" w:hAnsi="Times New Roman" w:cs="Times New Roman"/>
          <w:sz w:val="24"/>
          <w:szCs w:val="24"/>
        </w:rPr>
        <w:t>шлакоотвала</w:t>
      </w:r>
      <w:proofErr w:type="spellEnd"/>
      <w:r w:rsidRPr="00764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235">
        <w:rPr>
          <w:rFonts w:ascii="Times New Roman" w:hAnsi="Times New Roman" w:cs="Times New Roman"/>
          <w:sz w:val="24"/>
          <w:szCs w:val="24"/>
        </w:rPr>
        <w:t>ОАО</w:t>
      </w:r>
      <w:proofErr w:type="spellEnd"/>
      <w:r w:rsidRPr="0076423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64235">
        <w:rPr>
          <w:rFonts w:ascii="Times New Roman" w:hAnsi="Times New Roman" w:cs="Times New Roman"/>
          <w:sz w:val="24"/>
          <w:szCs w:val="24"/>
        </w:rPr>
        <w:t>Тагмет</w:t>
      </w:r>
      <w:proofErr w:type="spellEnd"/>
      <w:r w:rsidRPr="00764235">
        <w:rPr>
          <w:rFonts w:ascii="Times New Roman" w:hAnsi="Times New Roman" w:cs="Times New Roman"/>
          <w:sz w:val="24"/>
          <w:szCs w:val="24"/>
        </w:rPr>
        <w:t>»</w:t>
      </w:r>
    </w:p>
    <w:p w:rsidR="00764235" w:rsidRPr="00764235" w:rsidRDefault="00764235" w:rsidP="007642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235">
        <w:rPr>
          <w:rFonts w:ascii="Times New Roman" w:hAnsi="Times New Roman" w:cs="Times New Roman"/>
          <w:sz w:val="24"/>
          <w:szCs w:val="24"/>
        </w:rPr>
        <w:t xml:space="preserve">По данным, полученным в ходе исследований, </w:t>
      </w:r>
      <w:proofErr w:type="gramStart"/>
      <w:r w:rsidRPr="00764235">
        <w:rPr>
          <w:rFonts w:ascii="Times New Roman" w:hAnsi="Times New Roman" w:cs="Times New Roman"/>
          <w:sz w:val="24"/>
          <w:szCs w:val="24"/>
        </w:rPr>
        <w:t>воды, поступающие из реки Б. Черепаха в Таганрогский залив  пересыщены</w:t>
      </w:r>
      <w:proofErr w:type="gramEnd"/>
      <w:r w:rsidRPr="00764235">
        <w:rPr>
          <w:rFonts w:ascii="Times New Roman" w:hAnsi="Times New Roman" w:cs="Times New Roman"/>
          <w:sz w:val="24"/>
          <w:szCs w:val="24"/>
        </w:rPr>
        <w:t xml:space="preserve"> тяжелыми металлами. Оказалось, что существует коллектор, в который поступает ливневые, грунтовые  и точные воды с территории </w:t>
      </w:r>
      <w:proofErr w:type="spellStart"/>
      <w:r w:rsidRPr="00764235">
        <w:rPr>
          <w:rFonts w:ascii="Times New Roman" w:hAnsi="Times New Roman" w:cs="Times New Roman"/>
          <w:sz w:val="24"/>
          <w:szCs w:val="24"/>
        </w:rPr>
        <w:t>ОАО</w:t>
      </w:r>
      <w:proofErr w:type="spellEnd"/>
      <w:r w:rsidRPr="0076423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64235">
        <w:rPr>
          <w:rFonts w:ascii="Times New Roman" w:hAnsi="Times New Roman" w:cs="Times New Roman"/>
          <w:sz w:val="24"/>
          <w:szCs w:val="24"/>
        </w:rPr>
        <w:t>Тагмет</w:t>
      </w:r>
      <w:proofErr w:type="spellEnd"/>
      <w:r w:rsidRPr="00764235">
        <w:rPr>
          <w:rFonts w:ascii="Times New Roman" w:hAnsi="Times New Roman" w:cs="Times New Roman"/>
          <w:sz w:val="24"/>
          <w:szCs w:val="24"/>
        </w:rPr>
        <w:t xml:space="preserve">". Так, в устье реки </w:t>
      </w:r>
      <w:proofErr w:type="spellStart"/>
      <w:r w:rsidRPr="00764235">
        <w:rPr>
          <w:rFonts w:ascii="Times New Roman" w:hAnsi="Times New Roman" w:cs="Times New Roman"/>
          <w:sz w:val="24"/>
          <w:szCs w:val="24"/>
        </w:rPr>
        <w:t>Б.Черепаха</w:t>
      </w:r>
      <w:proofErr w:type="spellEnd"/>
      <w:r w:rsidRPr="00764235">
        <w:rPr>
          <w:rFonts w:ascii="Times New Roman" w:hAnsi="Times New Roman" w:cs="Times New Roman"/>
          <w:sz w:val="24"/>
          <w:szCs w:val="24"/>
        </w:rPr>
        <w:t xml:space="preserve">, в донных отложениях свинец находится в количествах, превышающих фоновые в 66 раз, кадмий – в 7 раз, марганец – в 7 раз, хром – в 5 раз, нефтепродукты – в 6 раз. </w:t>
      </w:r>
    </w:p>
    <w:p w:rsidR="00764235" w:rsidRPr="00764235" w:rsidRDefault="00764235" w:rsidP="007642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235">
        <w:rPr>
          <w:rFonts w:ascii="Times New Roman" w:hAnsi="Times New Roman" w:cs="Times New Roman"/>
          <w:sz w:val="24"/>
          <w:szCs w:val="24"/>
        </w:rPr>
        <w:t>Точка 260 – Бухта Андреева</w:t>
      </w:r>
    </w:p>
    <w:p w:rsidR="00764235" w:rsidRPr="00764235" w:rsidRDefault="00764235" w:rsidP="007642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235">
        <w:rPr>
          <w:rFonts w:ascii="Times New Roman" w:hAnsi="Times New Roman" w:cs="Times New Roman"/>
          <w:sz w:val="24"/>
          <w:szCs w:val="24"/>
        </w:rPr>
        <w:t xml:space="preserve">В районе бухты Андреева Таганрогского залива морские воды загрязнены нефтепродуктами, алюминием, марганцем, в донных осадках большое количество цинка. В этом районе находится </w:t>
      </w:r>
      <w:proofErr w:type="spellStart"/>
      <w:r w:rsidRPr="00764235">
        <w:rPr>
          <w:rFonts w:ascii="Times New Roman" w:hAnsi="Times New Roman" w:cs="Times New Roman"/>
          <w:sz w:val="24"/>
          <w:szCs w:val="24"/>
        </w:rPr>
        <w:t>шламонакопитель</w:t>
      </w:r>
      <w:proofErr w:type="spellEnd"/>
      <w:r w:rsidRPr="00764235">
        <w:rPr>
          <w:rFonts w:ascii="Times New Roman" w:hAnsi="Times New Roman" w:cs="Times New Roman"/>
          <w:sz w:val="24"/>
          <w:szCs w:val="24"/>
        </w:rPr>
        <w:t xml:space="preserve"> металлургического завода, дренажные воды которого, поступающие в Таганрогский залив Азовского моря загрязнены </w:t>
      </w:r>
      <w:r w:rsidRPr="00764235">
        <w:rPr>
          <w:rFonts w:ascii="Times New Roman" w:hAnsi="Times New Roman" w:cs="Times New Roman"/>
          <w:sz w:val="24"/>
          <w:szCs w:val="24"/>
        </w:rPr>
        <w:lastRenderedPageBreak/>
        <w:t>нефтепродуктами, цинком.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235">
        <w:rPr>
          <w:rFonts w:ascii="Times New Roman" w:hAnsi="Times New Roman" w:cs="Times New Roman"/>
          <w:sz w:val="24"/>
          <w:szCs w:val="24"/>
        </w:rPr>
        <w:t xml:space="preserve">Дренажные воды </w:t>
      </w:r>
      <w:proofErr w:type="spellStart"/>
      <w:r w:rsidRPr="00764235">
        <w:rPr>
          <w:rFonts w:ascii="Times New Roman" w:hAnsi="Times New Roman" w:cs="Times New Roman"/>
          <w:sz w:val="24"/>
          <w:szCs w:val="24"/>
        </w:rPr>
        <w:t>шламонакопителя</w:t>
      </w:r>
      <w:proofErr w:type="spellEnd"/>
      <w:r w:rsidRPr="00764235">
        <w:rPr>
          <w:rFonts w:ascii="Times New Roman" w:hAnsi="Times New Roman" w:cs="Times New Roman"/>
          <w:sz w:val="24"/>
          <w:szCs w:val="24"/>
        </w:rPr>
        <w:t>, поступающие в Таганрогский залив, обладают повышенной щелочностью (рН 11.63), содержат загрязняющих веществ больше допустимых норм.</w:t>
      </w:r>
    </w:p>
    <w:p w:rsidR="00764235" w:rsidRPr="00764235" w:rsidRDefault="00764235" w:rsidP="007642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235">
        <w:rPr>
          <w:rFonts w:ascii="Times New Roman" w:hAnsi="Times New Roman" w:cs="Times New Roman"/>
          <w:sz w:val="24"/>
          <w:szCs w:val="24"/>
        </w:rPr>
        <w:t>Точка 262 – Яхт-клуб</w:t>
      </w:r>
    </w:p>
    <w:p w:rsidR="00764235" w:rsidRPr="00764235" w:rsidRDefault="00764235" w:rsidP="007642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235">
        <w:rPr>
          <w:rFonts w:ascii="Times New Roman" w:hAnsi="Times New Roman" w:cs="Times New Roman"/>
          <w:sz w:val="24"/>
          <w:szCs w:val="24"/>
        </w:rPr>
        <w:t>Результаты многолетних исследований Азовского моря показывают, что основными загрязнителями морской среды являются нефтепродукты (</w:t>
      </w:r>
      <w:proofErr w:type="spellStart"/>
      <w:r w:rsidRPr="00764235">
        <w:rPr>
          <w:rFonts w:ascii="Times New Roman" w:hAnsi="Times New Roman" w:cs="Times New Roman"/>
          <w:sz w:val="24"/>
          <w:szCs w:val="24"/>
        </w:rPr>
        <w:t>НП</w:t>
      </w:r>
      <w:proofErr w:type="spellEnd"/>
      <w:r w:rsidRPr="00764235">
        <w:rPr>
          <w:rFonts w:ascii="Times New Roman" w:hAnsi="Times New Roman" w:cs="Times New Roman"/>
          <w:sz w:val="24"/>
          <w:szCs w:val="24"/>
        </w:rPr>
        <w:t xml:space="preserve">) и тяжелые металлы. В районе Яхт-клуба – превышения </w:t>
      </w:r>
      <w:proofErr w:type="gramStart"/>
      <w:r w:rsidRPr="00764235">
        <w:rPr>
          <w:rFonts w:ascii="Times New Roman" w:hAnsi="Times New Roman" w:cs="Times New Roman"/>
          <w:sz w:val="24"/>
          <w:szCs w:val="24"/>
        </w:rPr>
        <w:t>средне годовых</w:t>
      </w:r>
      <w:proofErr w:type="gramEnd"/>
      <w:r w:rsidRPr="00764235">
        <w:rPr>
          <w:rFonts w:ascii="Times New Roman" w:hAnsi="Times New Roman" w:cs="Times New Roman"/>
          <w:sz w:val="24"/>
          <w:szCs w:val="24"/>
        </w:rPr>
        <w:t xml:space="preserve"> концентраций по меди – 5,34 ПДК, цинку – 2,48 ПДК.</w:t>
      </w:r>
    </w:p>
    <w:p w:rsidR="00764235" w:rsidRPr="00764235" w:rsidRDefault="00764235" w:rsidP="007642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235">
        <w:rPr>
          <w:rFonts w:ascii="Times New Roman" w:hAnsi="Times New Roman" w:cs="Times New Roman"/>
          <w:sz w:val="24"/>
          <w:szCs w:val="24"/>
        </w:rPr>
        <w:t>Точка 263 – Порт Таганрога</w:t>
      </w:r>
    </w:p>
    <w:p w:rsidR="00764235" w:rsidRPr="00764235" w:rsidRDefault="00764235" w:rsidP="007642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235">
        <w:rPr>
          <w:rFonts w:ascii="Times New Roman" w:hAnsi="Times New Roman" w:cs="Times New Roman"/>
          <w:sz w:val="24"/>
          <w:szCs w:val="24"/>
        </w:rPr>
        <w:t>В пункте наблюдения, расположенного рядом с санкционированной свалкой морского грунта порта Таганрог. В 2006 г. превышение среднегодовых концентраций в данном пункте наблюдения отмечено только по меди – 1,03 ПДК, ванадию – 2,3 ПДК и молибдену – 2,4 ПДК.</w:t>
      </w:r>
    </w:p>
    <w:p w:rsidR="00764235" w:rsidRPr="00764235" w:rsidRDefault="00764235" w:rsidP="007642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235">
        <w:rPr>
          <w:rFonts w:ascii="Times New Roman" w:hAnsi="Times New Roman" w:cs="Times New Roman"/>
          <w:sz w:val="24"/>
          <w:szCs w:val="24"/>
        </w:rPr>
        <w:t>Точка 267 – В районе выпуска очистных сооружений</w:t>
      </w:r>
    </w:p>
    <w:p w:rsidR="00764235" w:rsidRPr="00764235" w:rsidRDefault="00764235" w:rsidP="007642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235">
        <w:rPr>
          <w:rFonts w:ascii="Times New Roman" w:hAnsi="Times New Roman" w:cs="Times New Roman"/>
          <w:sz w:val="24"/>
          <w:szCs w:val="24"/>
        </w:rPr>
        <w:t xml:space="preserve">Проблема несанкционированных сбросов неочищенных стоков через ливневый коллектор в воды Таганрогского залива Азовского моря в районе села Петрушино является предметом надзорных </w:t>
      </w:r>
      <w:proofErr w:type="gramStart"/>
      <w:r w:rsidRPr="00764235">
        <w:rPr>
          <w:rFonts w:ascii="Times New Roman" w:hAnsi="Times New Roman" w:cs="Times New Roman"/>
          <w:sz w:val="24"/>
          <w:szCs w:val="24"/>
        </w:rPr>
        <w:t>проверок</w:t>
      </w:r>
      <w:proofErr w:type="gramEnd"/>
      <w:r w:rsidRPr="00764235">
        <w:rPr>
          <w:rFonts w:ascii="Times New Roman" w:hAnsi="Times New Roman" w:cs="Times New Roman"/>
          <w:sz w:val="24"/>
          <w:szCs w:val="24"/>
        </w:rPr>
        <w:t xml:space="preserve"> как органов прокуратуры, так и контролирующих органов на протяжении уже нескольких лет. Однако до недавнего времени конкретного решения она не имела, в том числе в связи с отсутствием средств на строительство очистных сооружений.</w:t>
      </w:r>
    </w:p>
    <w:p w:rsidR="00764235" w:rsidRPr="00764235" w:rsidRDefault="00764235" w:rsidP="007642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235">
        <w:rPr>
          <w:rFonts w:ascii="Times New Roman" w:hAnsi="Times New Roman" w:cs="Times New Roman"/>
          <w:sz w:val="24"/>
          <w:szCs w:val="24"/>
        </w:rPr>
        <w:t>Проведенная нами п</w:t>
      </w:r>
      <w:r w:rsidR="00C067ED">
        <w:rPr>
          <w:rFonts w:ascii="Times New Roman" w:hAnsi="Times New Roman" w:cs="Times New Roman"/>
          <w:sz w:val="24"/>
          <w:szCs w:val="24"/>
        </w:rPr>
        <w:t>роверка показала, что проблема</w:t>
      </w:r>
      <w:r w:rsidRPr="00764235">
        <w:rPr>
          <w:rFonts w:ascii="Times New Roman" w:hAnsi="Times New Roman" w:cs="Times New Roman"/>
          <w:sz w:val="24"/>
          <w:szCs w:val="24"/>
        </w:rPr>
        <w:t xml:space="preserve"> не только в отсутствии самих очистных сооружений, но и в том, что не была проведена инвентаризация сетей ливневой канализации, не зарегистрировано право собственности муниципалитета на нее. А это мешает контролировать пользователей системы и позволяет хозяйствующим субъектам </w:t>
      </w:r>
      <w:proofErr w:type="spellStart"/>
      <w:r w:rsidRPr="00764235">
        <w:rPr>
          <w:rFonts w:ascii="Times New Roman" w:hAnsi="Times New Roman" w:cs="Times New Roman"/>
          <w:sz w:val="24"/>
          <w:szCs w:val="24"/>
        </w:rPr>
        <w:t>несанкционированно</w:t>
      </w:r>
      <w:proofErr w:type="spellEnd"/>
      <w:r w:rsidRPr="00764235">
        <w:rPr>
          <w:rFonts w:ascii="Times New Roman" w:hAnsi="Times New Roman" w:cs="Times New Roman"/>
          <w:sz w:val="24"/>
          <w:szCs w:val="24"/>
        </w:rPr>
        <w:t xml:space="preserve"> использовать ее для сброса своих неочищенных стоков.</w:t>
      </w:r>
    </w:p>
    <w:p w:rsidR="00764235" w:rsidRPr="00764235" w:rsidRDefault="00764235" w:rsidP="007642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235">
        <w:rPr>
          <w:rFonts w:ascii="Times New Roman" w:hAnsi="Times New Roman" w:cs="Times New Roman"/>
          <w:sz w:val="24"/>
          <w:szCs w:val="24"/>
        </w:rPr>
        <w:t>В месте выпуска очищенных вод от городских очистных сооружений обнаруживались превышения по цинку (до 2,4 ПДК), ванадию (до 3,5 ПДК) и молибдену (до 1,7 ПДК).</w:t>
      </w:r>
    </w:p>
    <w:p w:rsidR="00764235" w:rsidRPr="00764235" w:rsidRDefault="00764235" w:rsidP="007642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235">
        <w:rPr>
          <w:rFonts w:ascii="Times New Roman" w:hAnsi="Times New Roman" w:cs="Times New Roman"/>
          <w:sz w:val="24"/>
          <w:szCs w:val="24"/>
        </w:rPr>
        <w:t>Точка 275 – Устье р. Самбек</w:t>
      </w:r>
    </w:p>
    <w:p w:rsidR="00764235" w:rsidRPr="00764235" w:rsidRDefault="00764235" w:rsidP="007642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235">
        <w:rPr>
          <w:rFonts w:ascii="Times New Roman" w:hAnsi="Times New Roman" w:cs="Times New Roman"/>
          <w:sz w:val="24"/>
          <w:szCs w:val="24"/>
        </w:rPr>
        <w:t>Самбек – река в Ростовской области России. Впадает в Таганрогский залив Азовского моря. Длина 19,2 км.</w:t>
      </w:r>
    </w:p>
    <w:p w:rsidR="00764235" w:rsidRPr="00764235" w:rsidRDefault="00764235" w:rsidP="007642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235">
        <w:rPr>
          <w:rFonts w:ascii="Times New Roman" w:hAnsi="Times New Roman" w:cs="Times New Roman"/>
          <w:sz w:val="24"/>
          <w:szCs w:val="24"/>
        </w:rPr>
        <w:t>Самбек в своих водах несет большое количество сульфитов, нефтепродуктов, меди, железа, ртути, марганца. По данным мониторинга качества вод в 2005 г. воды малых рек Таганрога содержали превышение по марганцу (до 6,3 ПДК), железу (до 2,4 ПДК), никелю (до 2,3 ПДК), ванадию (до 18,9 ПДК), молибдену (</w:t>
      </w:r>
      <w:proofErr w:type="gramStart"/>
      <w:r w:rsidRPr="0076423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64235">
        <w:rPr>
          <w:rFonts w:ascii="Times New Roman" w:hAnsi="Times New Roman" w:cs="Times New Roman"/>
          <w:sz w:val="24"/>
          <w:szCs w:val="24"/>
        </w:rPr>
        <w:t xml:space="preserve"> 8 ПДК). Соответственно сильно загрязнены тяжелыми металлами и донные отложения.</w:t>
      </w:r>
    </w:p>
    <w:p w:rsidR="00764235" w:rsidRPr="00764235" w:rsidRDefault="00764235" w:rsidP="007642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235">
        <w:rPr>
          <w:rFonts w:ascii="Times New Roman" w:hAnsi="Times New Roman" w:cs="Times New Roman"/>
          <w:sz w:val="24"/>
          <w:szCs w:val="24"/>
        </w:rPr>
        <w:t xml:space="preserve">Результаты обработки экспериментальных данных </w:t>
      </w:r>
      <w:r w:rsidR="0048756E">
        <w:rPr>
          <w:rFonts w:ascii="Times New Roman" w:hAnsi="Times New Roman" w:cs="Times New Roman"/>
          <w:sz w:val="24"/>
          <w:szCs w:val="24"/>
        </w:rPr>
        <w:t xml:space="preserve">с учетом дисперсии </w:t>
      </w:r>
      <w:r w:rsidR="0048756E" w:rsidRPr="0048756E">
        <w:rPr>
          <w:rFonts w:ascii="Times New Roman" w:hAnsi="Times New Roman" w:cs="Times New Roman"/>
          <w:sz w:val="24"/>
          <w:szCs w:val="24"/>
        </w:rPr>
        <w:t xml:space="preserve">[3] </w:t>
      </w:r>
      <w:r w:rsidR="0048756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8756E" w:rsidRPr="0048756E">
        <w:rPr>
          <w:rFonts w:ascii="Times New Roman" w:hAnsi="Times New Roman" w:cs="Times New Roman"/>
          <w:sz w:val="24"/>
          <w:szCs w:val="24"/>
        </w:rPr>
        <w:t xml:space="preserve"> </w:t>
      </w:r>
      <w:r w:rsidR="0048756E">
        <w:rPr>
          <w:rFonts w:ascii="Times New Roman" w:hAnsi="Times New Roman" w:cs="Times New Roman"/>
          <w:sz w:val="24"/>
          <w:szCs w:val="24"/>
        </w:rPr>
        <w:t>поверхностном</w:t>
      </w:r>
      <w:r w:rsidRPr="00764235">
        <w:rPr>
          <w:rFonts w:ascii="Times New Roman" w:hAnsi="Times New Roman" w:cs="Times New Roman"/>
          <w:sz w:val="24"/>
          <w:szCs w:val="24"/>
        </w:rPr>
        <w:t xml:space="preserve"> сло</w:t>
      </w:r>
      <w:r w:rsidR="0048756E">
        <w:rPr>
          <w:rFonts w:ascii="Times New Roman" w:hAnsi="Times New Roman" w:cs="Times New Roman"/>
          <w:sz w:val="24"/>
          <w:szCs w:val="24"/>
        </w:rPr>
        <w:t>е</w:t>
      </w:r>
      <w:r w:rsidRPr="00764235">
        <w:rPr>
          <w:rFonts w:ascii="Times New Roman" w:hAnsi="Times New Roman" w:cs="Times New Roman"/>
          <w:sz w:val="24"/>
          <w:szCs w:val="24"/>
        </w:rPr>
        <w:t xml:space="preserve"> по годам </w:t>
      </w:r>
      <w:r>
        <w:rPr>
          <w:rFonts w:ascii="Times New Roman" w:hAnsi="Times New Roman" w:cs="Times New Roman"/>
          <w:sz w:val="24"/>
          <w:szCs w:val="24"/>
        </w:rPr>
        <w:t>приведены на следующих рисунках.</w:t>
      </w:r>
    </w:p>
    <w:p w:rsidR="00764235" w:rsidRPr="00764235" w:rsidRDefault="00764235" w:rsidP="00764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2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880D3C" wp14:editId="6C709055">
            <wp:extent cx="4951563" cy="2389517"/>
            <wp:effectExtent l="0" t="0" r="20955" b="10795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64235" w:rsidRPr="00764235" w:rsidRDefault="00764235" w:rsidP="00764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235">
        <w:rPr>
          <w:rFonts w:ascii="Times New Roman" w:hAnsi="Times New Roman" w:cs="Times New Roman"/>
          <w:sz w:val="24"/>
          <w:szCs w:val="24"/>
        </w:rPr>
        <w:t>Рисунок 2 – Динамика концентрации железа</w:t>
      </w:r>
    </w:p>
    <w:p w:rsidR="00764235" w:rsidRPr="00764235" w:rsidRDefault="00764235" w:rsidP="00764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235" w:rsidRPr="00764235" w:rsidRDefault="00764235" w:rsidP="00764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2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E15414" wp14:editId="6C636B7D">
            <wp:extent cx="4925683" cy="2216989"/>
            <wp:effectExtent l="0" t="0" r="27940" b="12065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4235" w:rsidRPr="00764235" w:rsidRDefault="00764235" w:rsidP="00764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235">
        <w:rPr>
          <w:rFonts w:ascii="Times New Roman" w:hAnsi="Times New Roman" w:cs="Times New Roman"/>
          <w:sz w:val="24"/>
          <w:szCs w:val="24"/>
        </w:rPr>
        <w:t>Рисунок 3 – Динамика концентрации меди</w:t>
      </w:r>
    </w:p>
    <w:p w:rsidR="00764235" w:rsidRPr="00764235" w:rsidRDefault="00764235" w:rsidP="00764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235" w:rsidRPr="00764235" w:rsidRDefault="00764235" w:rsidP="00764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2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1F8DBA" wp14:editId="7E8CE106">
            <wp:extent cx="5175849" cy="2725948"/>
            <wp:effectExtent l="0" t="0" r="25400" b="17780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64235" w:rsidRPr="00764235" w:rsidRDefault="00764235" w:rsidP="00764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235">
        <w:rPr>
          <w:rFonts w:ascii="Times New Roman" w:hAnsi="Times New Roman" w:cs="Times New Roman"/>
          <w:sz w:val="24"/>
          <w:szCs w:val="24"/>
        </w:rPr>
        <w:t>Рисунок 4 – Динамика концентрации молибдена</w:t>
      </w:r>
    </w:p>
    <w:p w:rsidR="00764235" w:rsidRPr="00764235" w:rsidRDefault="00764235" w:rsidP="00764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235" w:rsidRPr="00764235" w:rsidRDefault="00764235" w:rsidP="00764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2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A195D1" wp14:editId="3AFD6FAF">
            <wp:extent cx="5055080" cy="2562046"/>
            <wp:effectExtent l="0" t="0" r="12700" b="10160"/>
            <wp:docPr id="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64235" w:rsidRPr="00764235" w:rsidRDefault="00764235" w:rsidP="00764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235">
        <w:rPr>
          <w:rFonts w:ascii="Times New Roman" w:hAnsi="Times New Roman" w:cs="Times New Roman"/>
          <w:sz w:val="24"/>
          <w:szCs w:val="24"/>
        </w:rPr>
        <w:t>Рисунок 5 – Динамика концентрации никеля</w:t>
      </w:r>
    </w:p>
    <w:p w:rsidR="00764235" w:rsidRPr="00764235" w:rsidRDefault="00764235" w:rsidP="00764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235" w:rsidRPr="00764235" w:rsidRDefault="00764235" w:rsidP="00764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23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7B250B0" wp14:editId="7ECE27AE">
            <wp:extent cx="4865298" cy="3036498"/>
            <wp:effectExtent l="0" t="0" r="12065" b="12065"/>
            <wp:docPr id="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64235" w:rsidRPr="00764235" w:rsidRDefault="00764235" w:rsidP="00764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235">
        <w:rPr>
          <w:rFonts w:ascii="Times New Roman" w:hAnsi="Times New Roman" w:cs="Times New Roman"/>
          <w:sz w:val="24"/>
          <w:szCs w:val="24"/>
        </w:rPr>
        <w:t>Рисунок 6 – Динамика концентрации свинца</w:t>
      </w:r>
    </w:p>
    <w:p w:rsidR="00764235" w:rsidRPr="00764235" w:rsidRDefault="00764235" w:rsidP="00764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235" w:rsidRPr="00764235" w:rsidRDefault="00764235" w:rsidP="00764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2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D543CF" wp14:editId="219730F2">
            <wp:extent cx="5046452" cy="2708695"/>
            <wp:effectExtent l="0" t="0" r="20955" b="15875"/>
            <wp:docPr id="1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067ED" w:rsidRPr="00C067ED" w:rsidRDefault="00764235" w:rsidP="009203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235">
        <w:rPr>
          <w:rFonts w:ascii="Times New Roman" w:hAnsi="Times New Roman" w:cs="Times New Roman"/>
          <w:sz w:val="24"/>
          <w:szCs w:val="24"/>
        </w:rPr>
        <w:t>Рисунок 4.7 – Динамика концентрации хрома</w:t>
      </w:r>
    </w:p>
    <w:p w:rsidR="00C067ED" w:rsidRDefault="00C067ED" w:rsidP="00C06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данные позволяют выявить тенденцию в динамике концентрации тяжелых металлов и в дальнейшем перейти к прогнозным исследованиям.</w:t>
      </w:r>
    </w:p>
    <w:p w:rsidR="00C067ED" w:rsidRDefault="00C067ED" w:rsidP="00C06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выполнена при финансовой поддержке Министерства образования и науки РФ в рамках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ФЦП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«Научные и научно-педагогические кадры инновационной России» на 2009–2013 гг. (ГК П1205 от 04.06.2010 г.).</w:t>
      </w:r>
    </w:p>
    <w:p w:rsidR="00C067ED" w:rsidRPr="00C067ED" w:rsidRDefault="00C067ED" w:rsidP="009203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7ED" w:rsidRDefault="00C067ED" w:rsidP="00C067E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C067ED" w:rsidRDefault="00C067ED" w:rsidP="00C067ED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79C6">
        <w:rPr>
          <w:rFonts w:ascii="Times New Roman" w:hAnsi="Times New Roman" w:cs="Times New Roman"/>
          <w:sz w:val="24"/>
          <w:szCs w:val="24"/>
        </w:rPr>
        <w:t>Вишневецкий</w:t>
      </w:r>
      <w:proofErr w:type="spellEnd"/>
      <w:r w:rsidRPr="00F7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9C6">
        <w:rPr>
          <w:rFonts w:ascii="Times New Roman" w:hAnsi="Times New Roman" w:cs="Times New Roman"/>
          <w:sz w:val="24"/>
          <w:szCs w:val="24"/>
        </w:rPr>
        <w:t>В.Ю</w:t>
      </w:r>
      <w:proofErr w:type="spellEnd"/>
      <w:r w:rsidRPr="00F779C6">
        <w:rPr>
          <w:rFonts w:ascii="Times New Roman" w:hAnsi="Times New Roman" w:cs="Times New Roman"/>
          <w:sz w:val="24"/>
          <w:szCs w:val="24"/>
        </w:rPr>
        <w:t xml:space="preserve">., Ледяева </w:t>
      </w:r>
      <w:proofErr w:type="spellStart"/>
      <w:r w:rsidRPr="00F779C6">
        <w:rPr>
          <w:rFonts w:ascii="Times New Roman" w:hAnsi="Times New Roman" w:cs="Times New Roman"/>
          <w:sz w:val="24"/>
          <w:szCs w:val="24"/>
        </w:rPr>
        <w:t>В.С</w:t>
      </w:r>
      <w:proofErr w:type="spellEnd"/>
      <w:r w:rsidRPr="00F779C6">
        <w:rPr>
          <w:rFonts w:ascii="Times New Roman" w:hAnsi="Times New Roman" w:cs="Times New Roman"/>
          <w:sz w:val="24"/>
          <w:szCs w:val="24"/>
        </w:rPr>
        <w:t xml:space="preserve">., Старченко </w:t>
      </w:r>
      <w:proofErr w:type="spellStart"/>
      <w:r w:rsidRPr="00F779C6">
        <w:rPr>
          <w:rFonts w:ascii="Times New Roman" w:hAnsi="Times New Roman" w:cs="Times New Roman"/>
          <w:sz w:val="24"/>
          <w:szCs w:val="24"/>
        </w:rPr>
        <w:t>И.Б</w:t>
      </w:r>
      <w:proofErr w:type="spellEnd"/>
      <w:r w:rsidRPr="00F779C6">
        <w:rPr>
          <w:rFonts w:ascii="Times New Roman" w:hAnsi="Times New Roman" w:cs="Times New Roman"/>
          <w:sz w:val="24"/>
          <w:szCs w:val="24"/>
        </w:rPr>
        <w:t xml:space="preserve">. Принципы </w:t>
      </w:r>
      <w:proofErr w:type="gramStart"/>
      <w:r w:rsidRPr="00F779C6">
        <w:rPr>
          <w:rFonts w:ascii="Times New Roman" w:hAnsi="Times New Roman" w:cs="Times New Roman"/>
          <w:sz w:val="24"/>
          <w:szCs w:val="24"/>
        </w:rPr>
        <w:t>построения системы экологического мониторинга водной среды</w:t>
      </w:r>
      <w:r>
        <w:rPr>
          <w:rFonts w:ascii="Times New Roman" w:hAnsi="Times New Roman" w:cs="Times New Roman"/>
          <w:sz w:val="24"/>
          <w:szCs w:val="24"/>
        </w:rPr>
        <w:t xml:space="preserve"> // И</w:t>
      </w:r>
      <w:r w:rsidRPr="00F779C6">
        <w:rPr>
          <w:rFonts w:ascii="Times New Roman" w:hAnsi="Times New Roman" w:cs="Times New Roman"/>
          <w:sz w:val="24"/>
          <w:szCs w:val="24"/>
        </w:rPr>
        <w:t>звестия</w:t>
      </w:r>
      <w:proofErr w:type="gramEnd"/>
      <w:r w:rsidRPr="00F779C6">
        <w:rPr>
          <w:rFonts w:ascii="Times New Roman" w:hAnsi="Times New Roman" w:cs="Times New Roman"/>
          <w:sz w:val="24"/>
          <w:szCs w:val="24"/>
        </w:rPr>
        <w:t xml:space="preserve"> ЮФУ. Технические науки</w:t>
      </w:r>
      <w:r>
        <w:rPr>
          <w:rFonts w:ascii="Times New Roman" w:hAnsi="Times New Roman" w:cs="Times New Roman"/>
          <w:sz w:val="24"/>
          <w:szCs w:val="24"/>
        </w:rPr>
        <w:t xml:space="preserve">. – Ростов-на-Дону: Изд. ЮФУ, 2012. - </w:t>
      </w:r>
      <w:r w:rsidRPr="00F779C6">
        <w:rPr>
          <w:rFonts w:ascii="Times New Roman" w:hAnsi="Times New Roman" w:cs="Times New Roman"/>
          <w:sz w:val="24"/>
          <w:szCs w:val="24"/>
        </w:rPr>
        <w:t>№ 9 (134). - С. 195-200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67ED" w:rsidRPr="00F779C6" w:rsidRDefault="00C067ED" w:rsidP="00C067ED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79C6">
        <w:rPr>
          <w:rFonts w:ascii="Times New Roman" w:hAnsi="Times New Roman" w:cs="Times New Roman"/>
          <w:sz w:val="24"/>
          <w:szCs w:val="24"/>
        </w:rPr>
        <w:t>Вишневецкий</w:t>
      </w:r>
      <w:proofErr w:type="spellEnd"/>
      <w:r w:rsidRPr="00F7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9C6">
        <w:rPr>
          <w:rFonts w:ascii="Times New Roman" w:hAnsi="Times New Roman" w:cs="Times New Roman"/>
          <w:sz w:val="24"/>
          <w:szCs w:val="24"/>
        </w:rPr>
        <w:t>В.Ю</w:t>
      </w:r>
      <w:proofErr w:type="spellEnd"/>
      <w:r w:rsidRPr="00F779C6">
        <w:rPr>
          <w:rFonts w:ascii="Times New Roman" w:hAnsi="Times New Roman" w:cs="Times New Roman"/>
          <w:sz w:val="24"/>
          <w:szCs w:val="24"/>
        </w:rPr>
        <w:t xml:space="preserve">., Старченко </w:t>
      </w:r>
      <w:proofErr w:type="spellStart"/>
      <w:r w:rsidRPr="00F779C6">
        <w:rPr>
          <w:rFonts w:ascii="Times New Roman" w:hAnsi="Times New Roman" w:cs="Times New Roman"/>
          <w:sz w:val="24"/>
          <w:szCs w:val="24"/>
        </w:rPr>
        <w:t>И.Б</w:t>
      </w:r>
      <w:proofErr w:type="spellEnd"/>
      <w:r w:rsidRPr="00F779C6">
        <w:rPr>
          <w:rFonts w:ascii="Times New Roman" w:hAnsi="Times New Roman" w:cs="Times New Roman"/>
          <w:sz w:val="24"/>
          <w:szCs w:val="24"/>
        </w:rPr>
        <w:t xml:space="preserve">. Информационная система мониторинга экологического состояния </w:t>
      </w:r>
      <w:proofErr w:type="gramStart"/>
      <w:r w:rsidRPr="00F779C6">
        <w:rPr>
          <w:rFonts w:ascii="Times New Roman" w:hAnsi="Times New Roman" w:cs="Times New Roman"/>
          <w:sz w:val="24"/>
          <w:szCs w:val="24"/>
        </w:rPr>
        <w:t>водной</w:t>
      </w:r>
      <w:proofErr w:type="gramEnd"/>
      <w:r w:rsidRPr="00F7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9C6">
        <w:rPr>
          <w:rFonts w:ascii="Times New Roman" w:hAnsi="Times New Roman" w:cs="Times New Roman"/>
          <w:sz w:val="24"/>
          <w:szCs w:val="24"/>
        </w:rPr>
        <w:t>биосреды</w:t>
      </w:r>
      <w:proofErr w:type="spellEnd"/>
      <w:r w:rsidRPr="00F779C6">
        <w:rPr>
          <w:rFonts w:ascii="Times New Roman" w:hAnsi="Times New Roman" w:cs="Times New Roman"/>
          <w:sz w:val="24"/>
          <w:szCs w:val="24"/>
        </w:rPr>
        <w:t xml:space="preserve">. // Известия </w:t>
      </w:r>
      <w:proofErr w:type="spellStart"/>
      <w:r w:rsidRPr="00F779C6">
        <w:rPr>
          <w:rFonts w:ascii="Times New Roman" w:hAnsi="Times New Roman" w:cs="Times New Roman"/>
          <w:sz w:val="24"/>
          <w:szCs w:val="24"/>
        </w:rPr>
        <w:t>ТРТУ</w:t>
      </w:r>
      <w:proofErr w:type="spellEnd"/>
      <w:r w:rsidRPr="00F779C6">
        <w:rPr>
          <w:rFonts w:ascii="Times New Roman" w:hAnsi="Times New Roman" w:cs="Times New Roman"/>
          <w:sz w:val="24"/>
          <w:szCs w:val="24"/>
        </w:rPr>
        <w:t xml:space="preserve">. Тематический выпуск. Таганрог: </w:t>
      </w:r>
      <w:proofErr w:type="spellStart"/>
      <w:r w:rsidRPr="00F779C6">
        <w:rPr>
          <w:rFonts w:ascii="Times New Roman" w:hAnsi="Times New Roman" w:cs="Times New Roman"/>
          <w:sz w:val="24"/>
          <w:szCs w:val="24"/>
        </w:rPr>
        <w:t>ТРТУ</w:t>
      </w:r>
      <w:proofErr w:type="spellEnd"/>
      <w:r w:rsidRPr="00F779C6">
        <w:rPr>
          <w:rFonts w:ascii="Times New Roman" w:hAnsi="Times New Roman" w:cs="Times New Roman"/>
          <w:sz w:val="24"/>
          <w:szCs w:val="24"/>
        </w:rPr>
        <w:t>, 2000. № 4(18). С. 164-165.</w:t>
      </w:r>
    </w:p>
    <w:p w:rsidR="00C067ED" w:rsidRPr="00F779C6" w:rsidRDefault="00C067ED" w:rsidP="00C067ED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79C6">
        <w:rPr>
          <w:rFonts w:ascii="Times New Roman" w:hAnsi="Times New Roman" w:cs="Times New Roman"/>
          <w:sz w:val="24"/>
          <w:szCs w:val="24"/>
        </w:rPr>
        <w:t>Вишневецкий</w:t>
      </w:r>
      <w:proofErr w:type="spellEnd"/>
      <w:r w:rsidRPr="00F7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9C6">
        <w:rPr>
          <w:rFonts w:ascii="Times New Roman" w:hAnsi="Times New Roman" w:cs="Times New Roman"/>
          <w:sz w:val="24"/>
          <w:szCs w:val="24"/>
        </w:rPr>
        <w:t>В.Ю</w:t>
      </w:r>
      <w:proofErr w:type="spellEnd"/>
      <w:r w:rsidRPr="00F779C6">
        <w:rPr>
          <w:rFonts w:ascii="Times New Roman" w:hAnsi="Times New Roman" w:cs="Times New Roman"/>
          <w:sz w:val="24"/>
          <w:szCs w:val="24"/>
        </w:rPr>
        <w:t xml:space="preserve">., Старченко </w:t>
      </w:r>
      <w:proofErr w:type="spellStart"/>
      <w:r w:rsidRPr="00F779C6">
        <w:rPr>
          <w:rFonts w:ascii="Times New Roman" w:hAnsi="Times New Roman" w:cs="Times New Roman"/>
          <w:sz w:val="24"/>
          <w:szCs w:val="24"/>
        </w:rPr>
        <w:t>И.Б</w:t>
      </w:r>
      <w:proofErr w:type="spellEnd"/>
      <w:r w:rsidRPr="00F779C6">
        <w:rPr>
          <w:rFonts w:ascii="Times New Roman" w:hAnsi="Times New Roman" w:cs="Times New Roman"/>
          <w:sz w:val="24"/>
          <w:szCs w:val="24"/>
        </w:rPr>
        <w:t xml:space="preserve">. Модель дисперсии загрязняющих веществ в реке // Известия </w:t>
      </w:r>
      <w:proofErr w:type="spellStart"/>
      <w:r w:rsidRPr="00F779C6">
        <w:rPr>
          <w:rFonts w:ascii="Times New Roman" w:hAnsi="Times New Roman" w:cs="Times New Roman"/>
          <w:sz w:val="24"/>
          <w:szCs w:val="24"/>
        </w:rPr>
        <w:t>ТРТУ</w:t>
      </w:r>
      <w:proofErr w:type="spellEnd"/>
      <w:r w:rsidRPr="00F779C6">
        <w:rPr>
          <w:rFonts w:ascii="Times New Roman" w:hAnsi="Times New Roman" w:cs="Times New Roman"/>
          <w:sz w:val="24"/>
          <w:szCs w:val="24"/>
        </w:rPr>
        <w:t>. – 2006. – № 11 (66). – C. 178-180.</w:t>
      </w:r>
    </w:p>
    <w:p w:rsidR="00F779C6" w:rsidRDefault="00F779C6" w:rsidP="009203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79C6" w:rsidRDefault="00F779C6" w:rsidP="00F77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Экспериментальные исследования</w:t>
      </w:r>
      <w:r w:rsidRPr="00764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динамики </w:t>
      </w:r>
      <w:r w:rsidRPr="00764235">
        <w:rPr>
          <w:rFonts w:ascii="Times New Roman" w:hAnsi="Times New Roman" w:cs="Times New Roman"/>
          <w:sz w:val="24"/>
          <w:szCs w:val="24"/>
        </w:rPr>
        <w:t xml:space="preserve">концентрации тяжелых металлов в </w:t>
      </w:r>
      <w:r w:rsidR="0048756E">
        <w:rPr>
          <w:rFonts w:ascii="Times New Roman" w:hAnsi="Times New Roman" w:cs="Times New Roman"/>
          <w:sz w:val="24"/>
          <w:szCs w:val="24"/>
        </w:rPr>
        <w:t xml:space="preserve">поверхностном слое воды в </w:t>
      </w:r>
      <w:r>
        <w:rPr>
          <w:rFonts w:ascii="Times New Roman" w:hAnsi="Times New Roman" w:cs="Times New Roman"/>
          <w:sz w:val="24"/>
          <w:szCs w:val="24"/>
        </w:rPr>
        <w:t>Таганрогском заливе</w:t>
      </w:r>
    </w:p>
    <w:p w:rsidR="00F779C6" w:rsidRPr="00764235" w:rsidRDefault="00F779C6" w:rsidP="00F77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Вишневецкий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</w:t>
      </w:r>
      <w:proofErr w:type="spellEnd"/>
      <w:r>
        <w:rPr>
          <w:rFonts w:ascii="Times New Roman" w:hAnsi="Times New Roman" w:cs="Times New Roman"/>
          <w:sz w:val="24"/>
          <w:szCs w:val="24"/>
        </w:rPr>
        <w:t>. Ледяева</w:t>
      </w:r>
    </w:p>
    <w:p w:rsidR="00F779C6" w:rsidRDefault="00F779C6" w:rsidP="00F7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56E" w:rsidRPr="0048756E" w:rsidRDefault="0048756E" w:rsidP="00F7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 основе ранее разработанной системы экологического мониторинга выполнены экспериментальные исследования динамики концентрации тяжелых металлов в поверхностном слое воды в Таганрогском заливе Азовского моря. Определены точки отбора проб. Выполнена обработка данных для следующих тяжелых металлов: железо, медь, молибден, никель, свинец, хром. Период</w:t>
      </w:r>
      <w:r w:rsidRPr="00487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наблюдений</w:t>
      </w:r>
      <w:r w:rsidRPr="0048756E">
        <w:rPr>
          <w:rFonts w:ascii="Times New Roman" w:hAnsi="Times New Roman" w:cs="Times New Roman"/>
          <w:sz w:val="24"/>
          <w:szCs w:val="24"/>
          <w:lang w:val="en-US"/>
        </w:rPr>
        <w:t xml:space="preserve"> – 10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Pr="004875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Выявлены</w:t>
      </w:r>
      <w:r w:rsidRPr="00487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тренды</w:t>
      </w:r>
      <w:r w:rsidRPr="00487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487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каждой</w:t>
      </w:r>
      <w:r w:rsidRPr="00487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точке</w:t>
      </w:r>
      <w:r w:rsidRPr="00487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наблюдения</w:t>
      </w:r>
      <w:r w:rsidRPr="004875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756E" w:rsidRPr="0048756E" w:rsidRDefault="0048756E" w:rsidP="00F7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756E" w:rsidRPr="0048756E" w:rsidRDefault="0048756E" w:rsidP="00F779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8756E">
        <w:rPr>
          <w:rFonts w:ascii="Times New Roman" w:hAnsi="Times New Roman" w:cs="Times New Roman"/>
          <w:sz w:val="24"/>
          <w:szCs w:val="24"/>
          <w:lang w:val="en-US"/>
        </w:rPr>
        <w:t>Experimental studies of the dynamics of the concentration of heavy metals in surface water in the Taganrog Bay</w:t>
      </w:r>
    </w:p>
    <w:p w:rsidR="00F779C6" w:rsidRPr="00F779C6" w:rsidRDefault="00F779C6" w:rsidP="00F779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79C6">
        <w:rPr>
          <w:rFonts w:ascii="Times New Roman" w:hAnsi="Times New Roman" w:cs="Times New Roman"/>
          <w:sz w:val="24"/>
          <w:szCs w:val="24"/>
          <w:lang w:val="en-US"/>
        </w:rPr>
        <w:t>V.Yu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Vishnevetskiy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V.S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Ledyaeva</w:t>
      </w:r>
      <w:proofErr w:type="spellEnd"/>
    </w:p>
    <w:p w:rsidR="00F779C6" w:rsidRPr="0048756E" w:rsidRDefault="00F779C6" w:rsidP="00F7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756E" w:rsidRPr="0048756E" w:rsidRDefault="0054588A" w:rsidP="00F7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588A">
        <w:rPr>
          <w:rFonts w:ascii="Times New Roman" w:hAnsi="Times New Roman" w:cs="Times New Roman"/>
          <w:sz w:val="24"/>
          <w:szCs w:val="24"/>
          <w:lang w:val="en-US"/>
        </w:rPr>
        <w:t xml:space="preserve">Based on a previously developed system of environmental monitoring experimental studies of the dynamics of heavy metal concentrations in surface water in the Taganrog Bay of the Azov Sea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Pr="0054588A">
        <w:rPr>
          <w:rFonts w:ascii="Times New Roman" w:hAnsi="Times New Roman" w:cs="Times New Roman"/>
          <w:sz w:val="24"/>
          <w:szCs w:val="24"/>
          <w:lang w:val="en-US"/>
        </w:rPr>
        <w:t xml:space="preserve">carried out.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4588A">
        <w:rPr>
          <w:rFonts w:ascii="Times New Roman" w:hAnsi="Times New Roman" w:cs="Times New Roman"/>
          <w:sz w:val="24"/>
          <w:szCs w:val="24"/>
          <w:lang w:val="en-US"/>
        </w:rPr>
        <w:t xml:space="preserve">ampling points </w:t>
      </w:r>
      <w:r>
        <w:rPr>
          <w:rFonts w:ascii="Times New Roman" w:hAnsi="Times New Roman" w:cs="Times New Roman"/>
          <w:sz w:val="24"/>
          <w:szCs w:val="24"/>
          <w:lang w:val="en-US"/>
        </w:rPr>
        <w:t>were d</w:t>
      </w:r>
      <w:r w:rsidRPr="0054588A">
        <w:rPr>
          <w:rFonts w:ascii="Times New Roman" w:hAnsi="Times New Roman" w:cs="Times New Roman"/>
          <w:sz w:val="24"/>
          <w:szCs w:val="24"/>
          <w:lang w:val="en-US"/>
        </w:rPr>
        <w:t xml:space="preserve">etermined.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4588A">
        <w:rPr>
          <w:rFonts w:ascii="Times New Roman" w:hAnsi="Times New Roman" w:cs="Times New Roman"/>
          <w:sz w:val="24"/>
          <w:szCs w:val="24"/>
          <w:lang w:val="en-US"/>
        </w:rPr>
        <w:t xml:space="preserve">ata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4588A">
        <w:rPr>
          <w:rFonts w:ascii="Times New Roman" w:hAnsi="Times New Roman" w:cs="Times New Roman"/>
          <w:sz w:val="24"/>
          <w:szCs w:val="24"/>
          <w:lang w:val="en-US"/>
        </w:rPr>
        <w:t>rocess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54588A">
        <w:rPr>
          <w:rFonts w:ascii="Times New Roman" w:hAnsi="Times New Roman" w:cs="Times New Roman"/>
          <w:sz w:val="24"/>
          <w:szCs w:val="24"/>
          <w:lang w:val="en-US"/>
        </w:rPr>
        <w:t xml:space="preserve"> for the heavy metals such as iron, copper, molybdenum, nickel, lead, chromium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was provided</w:t>
      </w:r>
      <w:r w:rsidRPr="0054588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54588A">
        <w:rPr>
          <w:rFonts w:ascii="Times New Roman" w:hAnsi="Times New Roman" w:cs="Times New Roman"/>
          <w:sz w:val="24"/>
          <w:szCs w:val="24"/>
          <w:lang w:val="en-US"/>
        </w:rPr>
        <w:t>Observation period - 10 years.</w:t>
      </w:r>
      <w:proofErr w:type="gramEnd"/>
      <w:r w:rsidRPr="0054588A">
        <w:rPr>
          <w:rFonts w:ascii="Times New Roman" w:hAnsi="Times New Roman" w:cs="Times New Roman"/>
          <w:sz w:val="24"/>
          <w:szCs w:val="24"/>
          <w:lang w:val="en-US"/>
        </w:rPr>
        <w:t xml:space="preserve"> Trends have been defined for each point of observation.</w:t>
      </w:r>
    </w:p>
    <w:p w:rsidR="0048756E" w:rsidRPr="0048756E" w:rsidRDefault="0048756E" w:rsidP="00F7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756E" w:rsidRPr="0048756E" w:rsidRDefault="0048756E" w:rsidP="00F7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79C6" w:rsidRPr="00F779C6" w:rsidRDefault="00F779C6" w:rsidP="00F7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79C6">
        <w:rPr>
          <w:rFonts w:ascii="Times New Roman" w:hAnsi="Times New Roman" w:cs="Times New Roman"/>
          <w:sz w:val="24"/>
          <w:szCs w:val="24"/>
        </w:rPr>
        <w:t>Вишневецкий</w:t>
      </w:r>
      <w:proofErr w:type="spellEnd"/>
      <w:r w:rsidRPr="00F779C6">
        <w:rPr>
          <w:rFonts w:ascii="Times New Roman" w:hAnsi="Times New Roman" w:cs="Times New Roman"/>
          <w:sz w:val="24"/>
          <w:szCs w:val="24"/>
        </w:rPr>
        <w:t xml:space="preserve"> Вячеслав Юрьевич –</w:t>
      </w:r>
      <w:r w:rsidR="0048756E">
        <w:rPr>
          <w:rFonts w:ascii="Times New Roman" w:hAnsi="Times New Roman" w:cs="Times New Roman"/>
          <w:sz w:val="24"/>
          <w:szCs w:val="24"/>
        </w:rPr>
        <w:t xml:space="preserve"> </w:t>
      </w:r>
      <w:r w:rsidRPr="00F779C6">
        <w:rPr>
          <w:rFonts w:ascii="Times New Roman" w:hAnsi="Times New Roman" w:cs="Times New Roman"/>
          <w:sz w:val="24"/>
          <w:szCs w:val="24"/>
        </w:rPr>
        <w:t>Южный федеральный университет; e-</w:t>
      </w:r>
      <w:proofErr w:type="spellStart"/>
      <w:r w:rsidRPr="00F779C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779C6">
        <w:rPr>
          <w:rFonts w:ascii="Times New Roman" w:hAnsi="Times New Roman" w:cs="Times New Roman"/>
          <w:sz w:val="24"/>
          <w:szCs w:val="24"/>
        </w:rPr>
        <w:t xml:space="preserve">: vvu@fep.tti.sfedu.ru; 347928, г. Таганрог, пер. Некрасовский, 44, </w:t>
      </w:r>
      <w:proofErr w:type="spellStart"/>
      <w:r w:rsidRPr="00F779C6">
        <w:rPr>
          <w:rFonts w:ascii="Times New Roman" w:hAnsi="Times New Roman" w:cs="Times New Roman"/>
          <w:sz w:val="24"/>
          <w:szCs w:val="24"/>
        </w:rPr>
        <w:t>ГСП</w:t>
      </w:r>
      <w:proofErr w:type="spellEnd"/>
      <w:r w:rsidRPr="00F779C6">
        <w:rPr>
          <w:rFonts w:ascii="Times New Roman" w:hAnsi="Times New Roman" w:cs="Times New Roman"/>
          <w:sz w:val="24"/>
          <w:szCs w:val="24"/>
        </w:rPr>
        <w:t xml:space="preserve"> 17А; тел.: 88634371795; кафедра </w:t>
      </w:r>
      <w:proofErr w:type="spellStart"/>
      <w:r w:rsidRPr="00F779C6">
        <w:rPr>
          <w:rFonts w:ascii="Times New Roman" w:hAnsi="Times New Roman" w:cs="Times New Roman"/>
          <w:sz w:val="24"/>
          <w:szCs w:val="24"/>
        </w:rPr>
        <w:t>электрогидроакустической</w:t>
      </w:r>
      <w:proofErr w:type="spellEnd"/>
      <w:r w:rsidRPr="00F779C6">
        <w:rPr>
          <w:rFonts w:ascii="Times New Roman" w:hAnsi="Times New Roman" w:cs="Times New Roman"/>
          <w:sz w:val="24"/>
          <w:szCs w:val="24"/>
        </w:rPr>
        <w:t xml:space="preserve"> и медицинской техники; к.т.н.; доцент. </w:t>
      </w:r>
      <w:proofErr w:type="gramEnd"/>
    </w:p>
    <w:p w:rsidR="00F779C6" w:rsidRPr="00F779C6" w:rsidRDefault="00F779C6" w:rsidP="00F7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9C6">
        <w:rPr>
          <w:rFonts w:ascii="Times New Roman" w:hAnsi="Times New Roman" w:cs="Times New Roman"/>
          <w:sz w:val="24"/>
          <w:szCs w:val="24"/>
        </w:rPr>
        <w:t xml:space="preserve">Ледяева Валерия Сергеевна – </w:t>
      </w:r>
      <w:r w:rsidR="0048756E" w:rsidRPr="00F779C6">
        <w:rPr>
          <w:rFonts w:ascii="Times New Roman" w:hAnsi="Times New Roman" w:cs="Times New Roman"/>
          <w:sz w:val="24"/>
          <w:szCs w:val="24"/>
        </w:rPr>
        <w:t xml:space="preserve">Южный федеральный университет; 347928, г. Таганрог, пер. Некрасовский, 44, </w:t>
      </w:r>
      <w:proofErr w:type="spellStart"/>
      <w:r w:rsidR="0048756E" w:rsidRPr="00F779C6">
        <w:rPr>
          <w:rFonts w:ascii="Times New Roman" w:hAnsi="Times New Roman" w:cs="Times New Roman"/>
          <w:sz w:val="24"/>
          <w:szCs w:val="24"/>
        </w:rPr>
        <w:t>ГСП</w:t>
      </w:r>
      <w:proofErr w:type="spellEnd"/>
      <w:r w:rsidR="0048756E" w:rsidRPr="00F779C6">
        <w:rPr>
          <w:rFonts w:ascii="Times New Roman" w:hAnsi="Times New Roman" w:cs="Times New Roman"/>
          <w:sz w:val="24"/>
          <w:szCs w:val="24"/>
        </w:rPr>
        <w:t xml:space="preserve"> 17А; тел.: 88634371795; кафедра </w:t>
      </w:r>
      <w:proofErr w:type="spellStart"/>
      <w:r w:rsidR="0048756E" w:rsidRPr="00F779C6">
        <w:rPr>
          <w:rFonts w:ascii="Times New Roman" w:hAnsi="Times New Roman" w:cs="Times New Roman"/>
          <w:sz w:val="24"/>
          <w:szCs w:val="24"/>
        </w:rPr>
        <w:t>электрогидроакустической</w:t>
      </w:r>
      <w:proofErr w:type="spellEnd"/>
      <w:r w:rsidR="0048756E" w:rsidRPr="00F779C6">
        <w:rPr>
          <w:rFonts w:ascii="Times New Roman" w:hAnsi="Times New Roman" w:cs="Times New Roman"/>
          <w:sz w:val="24"/>
          <w:szCs w:val="24"/>
        </w:rPr>
        <w:t xml:space="preserve"> и медицинской техники;</w:t>
      </w:r>
      <w:r w:rsidR="009C52B8" w:rsidRPr="009C52B8">
        <w:rPr>
          <w:rFonts w:ascii="Times New Roman" w:hAnsi="Times New Roman" w:cs="Times New Roman"/>
          <w:sz w:val="24"/>
          <w:szCs w:val="24"/>
        </w:rPr>
        <w:t xml:space="preserve"> </w:t>
      </w:r>
      <w:r w:rsidRPr="00F779C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F779C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779C6">
        <w:rPr>
          <w:rFonts w:ascii="Times New Roman" w:hAnsi="Times New Roman" w:cs="Times New Roman"/>
          <w:sz w:val="24"/>
          <w:szCs w:val="24"/>
        </w:rPr>
        <w:t>: val2269@yandex.ru; магистрант.</w:t>
      </w:r>
    </w:p>
    <w:p w:rsidR="0048756E" w:rsidRDefault="0048756E" w:rsidP="00F7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79C6" w:rsidRPr="0048756E" w:rsidRDefault="00F779C6" w:rsidP="00F7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56E">
        <w:rPr>
          <w:rFonts w:ascii="Times New Roman" w:hAnsi="Times New Roman" w:cs="Times New Roman"/>
          <w:sz w:val="24"/>
          <w:szCs w:val="24"/>
          <w:lang w:val="en-US"/>
        </w:rPr>
        <w:t>Vishnevetsky</w:t>
      </w:r>
      <w:proofErr w:type="spellEnd"/>
      <w:r w:rsidRPr="00487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56E">
        <w:rPr>
          <w:rFonts w:ascii="Times New Roman" w:hAnsi="Times New Roman" w:cs="Times New Roman"/>
          <w:sz w:val="24"/>
          <w:szCs w:val="24"/>
          <w:lang w:val="en-US"/>
        </w:rPr>
        <w:t>Vyacheslav</w:t>
      </w:r>
      <w:proofErr w:type="spellEnd"/>
      <w:r w:rsidRPr="00487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56E">
        <w:rPr>
          <w:rFonts w:ascii="Times New Roman" w:hAnsi="Times New Roman" w:cs="Times New Roman"/>
          <w:sz w:val="24"/>
          <w:szCs w:val="24"/>
          <w:lang w:val="en-US"/>
        </w:rPr>
        <w:t>Yurevich</w:t>
      </w:r>
      <w:proofErr w:type="spellEnd"/>
      <w:r w:rsidRPr="0048756E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48756E" w:rsidRPr="00487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56E">
        <w:rPr>
          <w:rFonts w:ascii="Times New Roman" w:hAnsi="Times New Roman" w:cs="Times New Roman"/>
          <w:sz w:val="24"/>
          <w:szCs w:val="24"/>
          <w:lang w:val="en-US"/>
        </w:rPr>
        <w:t xml:space="preserve">Southern Federal University; e-mail: vvu@fep.tti.sfedu.ru; </w:t>
      </w:r>
      <w:proofErr w:type="spellStart"/>
      <w:r w:rsidRPr="0048756E">
        <w:rPr>
          <w:rFonts w:ascii="Times New Roman" w:hAnsi="Times New Roman" w:cs="Times New Roman"/>
          <w:sz w:val="24"/>
          <w:szCs w:val="24"/>
          <w:lang w:val="en-US"/>
        </w:rPr>
        <w:t>GSP</w:t>
      </w:r>
      <w:proofErr w:type="spellEnd"/>
      <w:r w:rsidRPr="0048756E">
        <w:rPr>
          <w:rFonts w:ascii="Times New Roman" w:hAnsi="Times New Roman" w:cs="Times New Roman"/>
          <w:sz w:val="24"/>
          <w:szCs w:val="24"/>
          <w:lang w:val="en-US"/>
        </w:rPr>
        <w:t xml:space="preserve"> 17A, 44, </w:t>
      </w:r>
      <w:proofErr w:type="spellStart"/>
      <w:r w:rsidRPr="0048756E">
        <w:rPr>
          <w:rFonts w:ascii="Times New Roman" w:hAnsi="Times New Roman" w:cs="Times New Roman"/>
          <w:sz w:val="24"/>
          <w:szCs w:val="24"/>
          <w:lang w:val="en-US"/>
        </w:rPr>
        <w:t>Nekrasovsky</w:t>
      </w:r>
      <w:proofErr w:type="spellEnd"/>
      <w:r w:rsidRPr="0048756E">
        <w:rPr>
          <w:rFonts w:ascii="Times New Roman" w:hAnsi="Times New Roman" w:cs="Times New Roman"/>
          <w:sz w:val="24"/>
          <w:szCs w:val="24"/>
          <w:lang w:val="en-US"/>
        </w:rPr>
        <w:t xml:space="preserve">, Taganrog, 347928, Russia; phone: +78634371795; the department of </w:t>
      </w:r>
      <w:proofErr w:type="spellStart"/>
      <w:r w:rsidRPr="0048756E">
        <w:rPr>
          <w:rFonts w:ascii="Times New Roman" w:hAnsi="Times New Roman" w:cs="Times New Roman"/>
          <w:sz w:val="24"/>
          <w:szCs w:val="24"/>
          <w:lang w:val="en-US"/>
        </w:rPr>
        <w:t>hydroacoustic</w:t>
      </w:r>
      <w:proofErr w:type="spellEnd"/>
      <w:r w:rsidRPr="0048756E">
        <w:rPr>
          <w:rFonts w:ascii="Times New Roman" w:hAnsi="Times New Roman" w:cs="Times New Roman"/>
          <w:sz w:val="24"/>
          <w:szCs w:val="24"/>
          <w:lang w:val="en-US"/>
        </w:rPr>
        <w:t xml:space="preserve"> and medical engineering; </w:t>
      </w:r>
      <w:proofErr w:type="spellStart"/>
      <w:r w:rsidRPr="0048756E">
        <w:rPr>
          <w:rFonts w:ascii="Times New Roman" w:hAnsi="Times New Roman" w:cs="Times New Roman"/>
          <w:sz w:val="24"/>
          <w:szCs w:val="24"/>
          <w:lang w:val="en-US"/>
        </w:rPr>
        <w:t>cand</w:t>
      </w:r>
      <w:proofErr w:type="spellEnd"/>
      <w:r w:rsidRPr="004875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48756E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487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56E">
        <w:rPr>
          <w:rFonts w:ascii="Times New Roman" w:hAnsi="Times New Roman" w:cs="Times New Roman"/>
          <w:sz w:val="24"/>
          <w:szCs w:val="24"/>
          <w:lang w:val="en-US"/>
        </w:rPr>
        <w:t>eng.</w:t>
      </w:r>
      <w:proofErr w:type="spellEnd"/>
      <w:r w:rsidRPr="0048756E">
        <w:rPr>
          <w:rFonts w:ascii="Times New Roman" w:hAnsi="Times New Roman" w:cs="Times New Roman"/>
          <w:sz w:val="24"/>
          <w:szCs w:val="24"/>
          <w:lang w:val="en-US"/>
        </w:rPr>
        <w:t xml:space="preserve"> sc.; assistant professor. </w:t>
      </w:r>
    </w:p>
    <w:p w:rsidR="0048756E" w:rsidRPr="0048756E" w:rsidRDefault="0048756E" w:rsidP="00F7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79C6" w:rsidRPr="0048756E" w:rsidRDefault="00F779C6" w:rsidP="00F7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56E">
        <w:rPr>
          <w:rFonts w:ascii="Times New Roman" w:hAnsi="Times New Roman" w:cs="Times New Roman"/>
          <w:sz w:val="24"/>
          <w:szCs w:val="24"/>
          <w:lang w:val="en-US"/>
        </w:rPr>
        <w:t>Ledyaeva</w:t>
      </w:r>
      <w:proofErr w:type="spellEnd"/>
      <w:r w:rsidRPr="00487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56E">
        <w:rPr>
          <w:rFonts w:ascii="Times New Roman" w:hAnsi="Times New Roman" w:cs="Times New Roman"/>
          <w:sz w:val="24"/>
          <w:szCs w:val="24"/>
          <w:lang w:val="en-US"/>
        </w:rPr>
        <w:t>Valeriya</w:t>
      </w:r>
      <w:proofErr w:type="spellEnd"/>
      <w:r w:rsidRPr="00487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56E">
        <w:rPr>
          <w:rFonts w:ascii="Times New Roman" w:hAnsi="Times New Roman" w:cs="Times New Roman"/>
          <w:sz w:val="24"/>
          <w:szCs w:val="24"/>
          <w:lang w:val="en-US"/>
        </w:rPr>
        <w:t>Sergeevna</w:t>
      </w:r>
      <w:proofErr w:type="spellEnd"/>
      <w:r w:rsidRPr="0048756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48756E" w:rsidRPr="0048756E">
        <w:rPr>
          <w:rFonts w:ascii="Times New Roman" w:hAnsi="Times New Roman" w:cs="Times New Roman"/>
          <w:sz w:val="24"/>
          <w:szCs w:val="24"/>
          <w:lang w:val="en-US"/>
        </w:rPr>
        <w:t xml:space="preserve">Southern Federal University; </w:t>
      </w:r>
      <w:proofErr w:type="spellStart"/>
      <w:r w:rsidR="0048756E" w:rsidRPr="0048756E">
        <w:rPr>
          <w:rFonts w:ascii="Times New Roman" w:hAnsi="Times New Roman" w:cs="Times New Roman"/>
          <w:sz w:val="24"/>
          <w:szCs w:val="24"/>
          <w:lang w:val="en-US"/>
        </w:rPr>
        <w:t>GSP</w:t>
      </w:r>
      <w:proofErr w:type="spellEnd"/>
      <w:r w:rsidR="0048756E" w:rsidRPr="0048756E">
        <w:rPr>
          <w:rFonts w:ascii="Times New Roman" w:hAnsi="Times New Roman" w:cs="Times New Roman"/>
          <w:sz w:val="24"/>
          <w:szCs w:val="24"/>
          <w:lang w:val="en-US"/>
        </w:rPr>
        <w:t xml:space="preserve"> 17A, 44, </w:t>
      </w:r>
      <w:proofErr w:type="spellStart"/>
      <w:r w:rsidR="0048756E" w:rsidRPr="0048756E">
        <w:rPr>
          <w:rFonts w:ascii="Times New Roman" w:hAnsi="Times New Roman" w:cs="Times New Roman"/>
          <w:sz w:val="24"/>
          <w:szCs w:val="24"/>
          <w:lang w:val="en-US"/>
        </w:rPr>
        <w:t>Nekrasovsky</w:t>
      </w:r>
      <w:proofErr w:type="spellEnd"/>
      <w:r w:rsidR="0048756E" w:rsidRPr="0048756E">
        <w:rPr>
          <w:rFonts w:ascii="Times New Roman" w:hAnsi="Times New Roman" w:cs="Times New Roman"/>
          <w:sz w:val="24"/>
          <w:szCs w:val="24"/>
          <w:lang w:val="en-US"/>
        </w:rPr>
        <w:t xml:space="preserve">, Taganrog, 347928, Russia; phone: +78634371795; the department of </w:t>
      </w:r>
      <w:proofErr w:type="spellStart"/>
      <w:r w:rsidR="0048756E" w:rsidRPr="0048756E">
        <w:rPr>
          <w:rFonts w:ascii="Times New Roman" w:hAnsi="Times New Roman" w:cs="Times New Roman"/>
          <w:sz w:val="24"/>
          <w:szCs w:val="24"/>
          <w:lang w:val="en-US"/>
        </w:rPr>
        <w:t>hydroacoustic</w:t>
      </w:r>
      <w:proofErr w:type="spellEnd"/>
      <w:r w:rsidR="0048756E" w:rsidRPr="0048756E">
        <w:rPr>
          <w:rFonts w:ascii="Times New Roman" w:hAnsi="Times New Roman" w:cs="Times New Roman"/>
          <w:sz w:val="24"/>
          <w:szCs w:val="24"/>
          <w:lang w:val="en-US"/>
        </w:rPr>
        <w:t xml:space="preserve"> and medical engineering; </w:t>
      </w:r>
      <w:r w:rsidRPr="0048756E">
        <w:rPr>
          <w:rFonts w:ascii="Times New Roman" w:hAnsi="Times New Roman" w:cs="Times New Roman"/>
          <w:sz w:val="24"/>
          <w:szCs w:val="24"/>
          <w:lang w:val="en-US"/>
        </w:rPr>
        <w:t>e-mail: val2269@yandex.ru; student.</w:t>
      </w:r>
    </w:p>
    <w:p w:rsidR="00764235" w:rsidRPr="00F779C6" w:rsidRDefault="00764235" w:rsidP="007642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64235" w:rsidRPr="00F7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08FC"/>
    <w:multiLevelType w:val="hybridMultilevel"/>
    <w:tmpl w:val="597E8ADC"/>
    <w:lvl w:ilvl="0" w:tplc="627A6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F76E66"/>
    <w:multiLevelType w:val="hybridMultilevel"/>
    <w:tmpl w:val="D7B6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37BF6"/>
    <w:multiLevelType w:val="hybridMultilevel"/>
    <w:tmpl w:val="0BA632C4"/>
    <w:lvl w:ilvl="0" w:tplc="04190001">
      <w:start w:val="1"/>
      <w:numFmt w:val="bullet"/>
      <w:pStyle w:val="a"/>
      <w:lvlText w:val=""/>
      <w:lvlJc w:val="left"/>
      <w:pPr>
        <w:tabs>
          <w:tab w:val="num" w:pos="284"/>
        </w:tabs>
        <w:ind w:left="709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D917CF9"/>
    <w:multiLevelType w:val="hybridMultilevel"/>
    <w:tmpl w:val="57BA0C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FB9383B"/>
    <w:multiLevelType w:val="hybridMultilevel"/>
    <w:tmpl w:val="9AB4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17E4E"/>
    <w:multiLevelType w:val="hybridMultilevel"/>
    <w:tmpl w:val="64AA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56529"/>
    <w:multiLevelType w:val="hybridMultilevel"/>
    <w:tmpl w:val="48821C10"/>
    <w:lvl w:ilvl="0" w:tplc="3BD01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35"/>
    <w:rsid w:val="0048756E"/>
    <w:rsid w:val="0054588A"/>
    <w:rsid w:val="00764235"/>
    <w:rsid w:val="007B76BF"/>
    <w:rsid w:val="00920335"/>
    <w:rsid w:val="009C52B8"/>
    <w:rsid w:val="00AC34E0"/>
    <w:rsid w:val="00C067ED"/>
    <w:rsid w:val="00F7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764235"/>
    <w:pPr>
      <w:keepNext/>
      <w:keepLines/>
      <w:spacing w:before="480" w:after="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779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76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42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764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rsid w:val="00F779C6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F77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0"/>
    <w:uiPriority w:val="34"/>
    <w:qFormat/>
    <w:rsid w:val="00F779C6"/>
    <w:pPr>
      <w:ind w:left="720"/>
      <w:contextualSpacing/>
    </w:pPr>
  </w:style>
  <w:style w:type="paragraph" w:styleId="a8">
    <w:name w:val="footer"/>
    <w:basedOn w:val="a0"/>
    <w:link w:val="a9"/>
    <w:rsid w:val="00F779C6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1"/>
    <w:link w:val="a8"/>
    <w:rsid w:val="00F77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МаркирСписок"/>
    <w:basedOn w:val="a0"/>
    <w:rsid w:val="00F779C6"/>
    <w:pPr>
      <w:numPr>
        <w:numId w:val="4"/>
      </w:num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Eeoa">
    <w:name w:val="Eeoa? ?"/>
    <w:basedOn w:val="a0"/>
    <w:uiPriority w:val="99"/>
    <w:rsid w:val="00F779C6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764235"/>
    <w:pPr>
      <w:keepNext/>
      <w:keepLines/>
      <w:spacing w:before="480" w:after="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779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76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42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764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rsid w:val="00F779C6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F77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0"/>
    <w:uiPriority w:val="34"/>
    <w:qFormat/>
    <w:rsid w:val="00F779C6"/>
    <w:pPr>
      <w:ind w:left="720"/>
      <w:contextualSpacing/>
    </w:pPr>
  </w:style>
  <w:style w:type="paragraph" w:styleId="a8">
    <w:name w:val="footer"/>
    <w:basedOn w:val="a0"/>
    <w:link w:val="a9"/>
    <w:rsid w:val="00F779C6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1"/>
    <w:link w:val="a8"/>
    <w:rsid w:val="00F77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МаркирСписок"/>
    <w:basedOn w:val="a0"/>
    <w:rsid w:val="00F779C6"/>
    <w:pPr>
      <w:numPr>
        <w:numId w:val="4"/>
      </w:num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Eeoa">
    <w:name w:val="Eeoa? ?"/>
    <w:basedOn w:val="a0"/>
    <w:uiPriority w:val="99"/>
    <w:rsid w:val="00F779C6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4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6;&#1072;&#1073;&#1086;&#1095;&#1072;&#1103;%20&#1087;&#1072;&#1087;&#1082;&#1072;\&#1044;&#1080;&#1087;&#1083;&#1086;&#1084;\&#1075;&#1088;&#1072;&#1092;&#1080;&#1082;&#1080;%20&#1076;&#1080;&#1085;&#1072;&#1084;&#1080;&#1082;&#1080;%20&#1051;&#1077;&#1076;&#1103;&#1077;&#1074;&#1072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6;&#1072;&#1073;&#1086;&#1095;&#1072;&#1103;%20&#1087;&#1072;&#1087;&#1082;&#1072;\&#1044;&#1080;&#1087;&#1083;&#1086;&#1084;\&#1075;&#1088;&#1072;&#1092;&#1080;&#1082;&#1080;%20&#1076;&#1080;&#1085;&#1072;&#1084;&#1080;&#1082;&#1080;%20&#1051;&#1077;&#1076;&#1103;&#1077;&#1074;&#1072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6;&#1072;&#1073;&#1086;&#1095;&#1072;&#1103;%20&#1087;&#1072;&#1087;&#1082;&#1072;\&#1044;&#1080;&#1087;&#1083;&#1086;&#1084;\&#1075;&#1088;&#1072;&#1092;&#1080;&#1082;&#1080;%20&#1076;&#1080;&#1085;&#1072;&#1084;&#1080;&#1082;&#1080;%20&#1051;&#1077;&#1076;&#1103;&#1077;&#1074;&#1072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6;&#1072;&#1073;&#1086;&#1095;&#1072;&#1103;%20&#1087;&#1072;&#1087;&#1082;&#1072;\&#1044;&#1080;&#1087;&#1083;&#1086;&#1084;\&#1075;&#1088;&#1072;&#1092;&#1080;&#1082;&#1080;%20&#1076;&#1080;&#1085;&#1072;&#1084;&#1080;&#1082;&#1080;%20&#1051;&#1077;&#1076;&#1103;&#1077;&#1074;&#1072;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6;&#1072;&#1073;&#1086;&#1095;&#1072;&#1103;%20&#1087;&#1072;&#1087;&#1082;&#1072;\&#1044;&#1080;&#1087;&#1083;&#1086;&#1084;\&#1075;&#1088;&#1072;&#1092;&#1080;&#1082;&#1080;%20&#1076;&#1080;&#1085;&#1072;&#1084;&#1080;&#1082;&#1080;%20&#1051;&#1077;&#1076;&#1103;&#1077;&#1074;&#1072;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6;&#1072;&#1073;&#1086;&#1095;&#1072;&#1103;%20&#1087;&#1072;&#1087;&#1082;&#1072;\&#1044;&#1080;&#1087;&#1083;&#1086;&#1084;\&#1075;&#1088;&#1072;&#1092;&#1080;&#1082;&#1080;%20&#1076;&#1080;&#1085;&#1072;&#1084;&#1080;&#1082;&#1080;%20&#1051;&#1077;&#1076;&#1103;&#1077;&#1074;&#1072;.xlsx" TargetMode="External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166391184573021"/>
          <c:y val="0.10651120533010312"/>
          <c:w val="0.8340936639118457"/>
          <c:h val="0.50216146058665656"/>
        </c:manualLayout>
      </c:layout>
      <c:lineChart>
        <c:grouping val="standard"/>
        <c:varyColors val="0"/>
        <c:ser>
          <c:idx val="0"/>
          <c:order val="0"/>
          <c:tx>
            <c:strRef>
              <c:f>Железо!$B$1</c:f>
              <c:strCache>
                <c:ptCount val="1"/>
                <c:pt idx="0">
                  <c:v>2000</c:v>
                </c:pt>
              </c:strCache>
            </c:strRef>
          </c:tx>
          <c:cat>
            <c:numRef>
              <c:f>Железо!$A$2:$A$7</c:f>
              <c:numCache>
                <c:formatCode>General</c:formatCode>
                <c:ptCount val="6"/>
                <c:pt idx="0">
                  <c:v>259</c:v>
                </c:pt>
                <c:pt idx="1">
                  <c:v>260</c:v>
                </c:pt>
                <c:pt idx="2">
                  <c:v>262</c:v>
                </c:pt>
                <c:pt idx="3">
                  <c:v>263</c:v>
                </c:pt>
                <c:pt idx="4">
                  <c:v>267</c:v>
                </c:pt>
                <c:pt idx="5">
                  <c:v>275</c:v>
                </c:pt>
              </c:numCache>
            </c:numRef>
          </c:cat>
          <c:val>
            <c:numRef>
              <c:f>Железо!$B$2:$B$7</c:f>
              <c:numCache>
                <c:formatCode>General</c:formatCode>
                <c:ptCount val="6"/>
                <c:pt idx="0">
                  <c:v>0.58300000000000052</c:v>
                </c:pt>
                <c:pt idx="1">
                  <c:v>0.32900000000000201</c:v>
                </c:pt>
                <c:pt idx="2">
                  <c:v>0.63700000000000379</c:v>
                </c:pt>
                <c:pt idx="3">
                  <c:v>0.61000000000000065</c:v>
                </c:pt>
                <c:pt idx="4">
                  <c:v>0.63400000000000378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Железо!$C$1</c:f>
              <c:strCache>
                <c:ptCount val="1"/>
                <c:pt idx="0">
                  <c:v>2003</c:v>
                </c:pt>
              </c:strCache>
            </c:strRef>
          </c:tx>
          <c:cat>
            <c:numRef>
              <c:f>Железо!$A$2:$A$7</c:f>
              <c:numCache>
                <c:formatCode>General</c:formatCode>
                <c:ptCount val="6"/>
                <c:pt idx="0">
                  <c:v>259</c:v>
                </c:pt>
                <c:pt idx="1">
                  <c:v>260</c:v>
                </c:pt>
                <c:pt idx="2">
                  <c:v>262</c:v>
                </c:pt>
                <c:pt idx="3">
                  <c:v>263</c:v>
                </c:pt>
                <c:pt idx="4">
                  <c:v>267</c:v>
                </c:pt>
                <c:pt idx="5">
                  <c:v>275</c:v>
                </c:pt>
              </c:numCache>
            </c:numRef>
          </c:cat>
          <c:val>
            <c:numRef>
              <c:f>Железо!$C$2:$C$7</c:f>
              <c:numCache>
                <c:formatCode>General</c:formatCode>
                <c:ptCount val="6"/>
                <c:pt idx="0">
                  <c:v>0.15500000000000044</c:v>
                </c:pt>
                <c:pt idx="1">
                  <c:v>8.7000000000000022E-2</c:v>
                </c:pt>
                <c:pt idx="2">
                  <c:v>0.16700000000000045</c:v>
                </c:pt>
                <c:pt idx="3">
                  <c:v>0.125</c:v>
                </c:pt>
                <c:pt idx="4">
                  <c:v>0.11500000000000019</c:v>
                </c:pt>
                <c:pt idx="5">
                  <c:v>0.14000000000000001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Железо!$D$1</c:f>
              <c:strCache>
                <c:ptCount val="1"/>
                <c:pt idx="0">
                  <c:v>2005</c:v>
                </c:pt>
              </c:strCache>
            </c:strRef>
          </c:tx>
          <c:cat>
            <c:numRef>
              <c:f>Железо!$A$2:$A$7</c:f>
              <c:numCache>
                <c:formatCode>General</c:formatCode>
                <c:ptCount val="6"/>
                <c:pt idx="0">
                  <c:v>259</c:v>
                </c:pt>
                <c:pt idx="1">
                  <c:v>260</c:v>
                </c:pt>
                <c:pt idx="2">
                  <c:v>262</c:v>
                </c:pt>
                <c:pt idx="3">
                  <c:v>263</c:v>
                </c:pt>
                <c:pt idx="4">
                  <c:v>267</c:v>
                </c:pt>
                <c:pt idx="5">
                  <c:v>275</c:v>
                </c:pt>
              </c:numCache>
            </c:numRef>
          </c:cat>
          <c:val>
            <c:numRef>
              <c:f>Железо!$D$2:$D$7</c:f>
              <c:numCache>
                <c:formatCode>General</c:formatCode>
                <c:ptCount val="6"/>
                <c:pt idx="0">
                  <c:v>0.10500000000000002</c:v>
                </c:pt>
                <c:pt idx="1">
                  <c:v>4.9000000000000335E-2</c:v>
                </c:pt>
                <c:pt idx="2">
                  <c:v>6.2000000000000326E-2</c:v>
                </c:pt>
                <c:pt idx="3">
                  <c:v>4.6000000000000013E-2</c:v>
                </c:pt>
                <c:pt idx="4">
                  <c:v>5.2000000000000254E-2</c:v>
                </c:pt>
                <c:pt idx="5">
                  <c:v>6.4000000000000334E-2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Железо!$E$1</c:f>
              <c:strCache>
                <c:ptCount val="1"/>
                <c:pt idx="0">
                  <c:v>2007</c:v>
                </c:pt>
              </c:strCache>
            </c:strRef>
          </c:tx>
          <c:cat>
            <c:numRef>
              <c:f>Железо!$A$2:$A$7</c:f>
              <c:numCache>
                <c:formatCode>General</c:formatCode>
                <c:ptCount val="6"/>
                <c:pt idx="0">
                  <c:v>259</c:v>
                </c:pt>
                <c:pt idx="1">
                  <c:v>260</c:v>
                </c:pt>
                <c:pt idx="2">
                  <c:v>262</c:v>
                </c:pt>
                <c:pt idx="3">
                  <c:v>263</c:v>
                </c:pt>
                <c:pt idx="4">
                  <c:v>267</c:v>
                </c:pt>
                <c:pt idx="5">
                  <c:v>275</c:v>
                </c:pt>
              </c:numCache>
            </c:numRef>
          </c:cat>
          <c:val>
            <c:numRef>
              <c:f>Железо!$E$2:$E$7</c:f>
              <c:numCache>
                <c:formatCode>General</c:formatCode>
                <c:ptCount val="6"/>
                <c:pt idx="0">
                  <c:v>2.6000000000000127E-2</c:v>
                </c:pt>
                <c:pt idx="1">
                  <c:v>2.7000000000000204E-2</c:v>
                </c:pt>
                <c:pt idx="2">
                  <c:v>3.1000000000000201E-2</c:v>
                </c:pt>
                <c:pt idx="3">
                  <c:v>4.3000000000000003E-2</c:v>
                </c:pt>
                <c:pt idx="4">
                  <c:v>6.9000000000000422E-2</c:v>
                </c:pt>
                <c:pt idx="5">
                  <c:v>1.9000000000000104E-2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Железо!$F$1</c:f>
              <c:strCache>
                <c:ptCount val="1"/>
                <c:pt idx="0">
                  <c:v>2008</c:v>
                </c:pt>
              </c:strCache>
            </c:strRef>
          </c:tx>
          <c:cat>
            <c:numRef>
              <c:f>Железо!$A$2:$A$7</c:f>
              <c:numCache>
                <c:formatCode>General</c:formatCode>
                <c:ptCount val="6"/>
                <c:pt idx="0">
                  <c:v>259</c:v>
                </c:pt>
                <c:pt idx="1">
                  <c:v>260</c:v>
                </c:pt>
                <c:pt idx="2">
                  <c:v>262</c:v>
                </c:pt>
                <c:pt idx="3">
                  <c:v>263</c:v>
                </c:pt>
                <c:pt idx="4">
                  <c:v>267</c:v>
                </c:pt>
                <c:pt idx="5">
                  <c:v>275</c:v>
                </c:pt>
              </c:numCache>
            </c:numRef>
          </c:cat>
          <c:val>
            <c:numRef>
              <c:f>Железо!$F$2:$F$7</c:f>
              <c:numCache>
                <c:formatCode>General</c:formatCode>
                <c:ptCount val="6"/>
                <c:pt idx="0">
                  <c:v>5.3000000000000033E-2</c:v>
                </c:pt>
                <c:pt idx="1">
                  <c:v>6.5000000000000113E-2</c:v>
                </c:pt>
                <c:pt idx="2">
                  <c:v>4.1000000000000002E-2</c:v>
                </c:pt>
                <c:pt idx="3">
                  <c:v>5.9000000000000385E-2</c:v>
                </c:pt>
                <c:pt idx="4">
                  <c:v>3.9000000000000187E-2</c:v>
                </c:pt>
                <c:pt idx="5">
                  <c:v>3.6000000000000212E-2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812864"/>
        <c:axId val="118752384"/>
      </c:lineChart>
      <c:catAx>
        <c:axId val="145812864"/>
        <c:scaling>
          <c:orientation val="minMax"/>
        </c:scaling>
        <c:delete val="0"/>
        <c:axPos val="b"/>
        <c:majorGridlines/>
        <c:minorGridlines/>
        <c:numFmt formatCode="General" sourceLinked="1"/>
        <c:majorTickMark val="none"/>
        <c:minorTickMark val="none"/>
        <c:tickLblPos val="nextTo"/>
        <c:crossAx val="118752384"/>
        <c:crosses val="autoZero"/>
        <c:auto val="1"/>
        <c:lblAlgn val="ctr"/>
        <c:lblOffset val="100"/>
        <c:noMultiLvlLbl val="0"/>
      </c:catAx>
      <c:valAx>
        <c:axId val="11875238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Концентрация, </a:t>
                </a:r>
                <a:r>
                  <a:rPr lang="ru-RU" sz="1000" b="1" i="0" u="none" strike="noStrike" baseline="0"/>
                  <a:t>мг/дм³</a:t>
                </a:r>
                <a:endParaRPr lang="ru-RU" b="1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458128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>
            <a:solidFill>
              <a:schemeClr val="tx2">
                <a:lumMod val="50000"/>
              </a:schemeClr>
            </a:solidFill>
          </a:ln>
        </c:spPr>
      </c:dTable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Медь!$B$1</c:f>
              <c:strCache>
                <c:ptCount val="1"/>
                <c:pt idx="0">
                  <c:v>2000</c:v>
                </c:pt>
              </c:strCache>
            </c:strRef>
          </c:tx>
          <c:cat>
            <c:numRef>
              <c:f>Медь!$A$2:$A$7</c:f>
              <c:numCache>
                <c:formatCode>General</c:formatCode>
                <c:ptCount val="6"/>
                <c:pt idx="0">
                  <c:v>259</c:v>
                </c:pt>
                <c:pt idx="1">
                  <c:v>260</c:v>
                </c:pt>
                <c:pt idx="2">
                  <c:v>262</c:v>
                </c:pt>
                <c:pt idx="3">
                  <c:v>263</c:v>
                </c:pt>
                <c:pt idx="4">
                  <c:v>267</c:v>
                </c:pt>
                <c:pt idx="5">
                  <c:v>275</c:v>
                </c:pt>
              </c:numCache>
            </c:numRef>
          </c:cat>
          <c:val>
            <c:numRef>
              <c:f>Медь!$B$2:$B$7</c:f>
              <c:numCache>
                <c:formatCode>General</c:formatCode>
                <c:ptCount val="6"/>
                <c:pt idx="0">
                  <c:v>9.9000000000000268E-3</c:v>
                </c:pt>
                <c:pt idx="1">
                  <c:v>3.2000000000000223E-3</c:v>
                </c:pt>
                <c:pt idx="2">
                  <c:v>1.4200000000000001E-2</c:v>
                </c:pt>
                <c:pt idx="3">
                  <c:v>9.8000000000000691E-3</c:v>
                </c:pt>
                <c:pt idx="4">
                  <c:v>4.1000000000000003E-3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Медь!$C$1</c:f>
              <c:strCache>
                <c:ptCount val="1"/>
                <c:pt idx="0">
                  <c:v>2003</c:v>
                </c:pt>
              </c:strCache>
            </c:strRef>
          </c:tx>
          <c:cat>
            <c:numRef>
              <c:f>Медь!$A$2:$A$7</c:f>
              <c:numCache>
                <c:formatCode>General</c:formatCode>
                <c:ptCount val="6"/>
                <c:pt idx="0">
                  <c:v>259</c:v>
                </c:pt>
                <c:pt idx="1">
                  <c:v>260</c:v>
                </c:pt>
                <c:pt idx="2">
                  <c:v>262</c:v>
                </c:pt>
                <c:pt idx="3">
                  <c:v>263</c:v>
                </c:pt>
                <c:pt idx="4">
                  <c:v>267</c:v>
                </c:pt>
                <c:pt idx="5">
                  <c:v>275</c:v>
                </c:pt>
              </c:numCache>
            </c:numRef>
          </c:cat>
          <c:val>
            <c:numRef>
              <c:f>Медь!$C$2:$C$7</c:f>
              <c:numCache>
                <c:formatCode>General</c:formatCode>
                <c:ptCount val="6"/>
                <c:pt idx="0">
                  <c:v>3.500000000000001E-2</c:v>
                </c:pt>
                <c:pt idx="1">
                  <c:v>3.8300000000000001E-2</c:v>
                </c:pt>
                <c:pt idx="2">
                  <c:v>1.72E-2</c:v>
                </c:pt>
                <c:pt idx="3">
                  <c:v>1.0500000000000021E-2</c:v>
                </c:pt>
                <c:pt idx="4">
                  <c:v>7.0000000000000114E-3</c:v>
                </c:pt>
                <c:pt idx="5">
                  <c:v>6.2000000000000353E-3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Медь!$D$1</c:f>
              <c:strCache>
                <c:ptCount val="1"/>
                <c:pt idx="0">
                  <c:v>2005</c:v>
                </c:pt>
              </c:strCache>
            </c:strRef>
          </c:tx>
          <c:cat>
            <c:numRef>
              <c:f>Медь!$A$2:$A$7</c:f>
              <c:numCache>
                <c:formatCode>General</c:formatCode>
                <c:ptCount val="6"/>
                <c:pt idx="0">
                  <c:v>259</c:v>
                </c:pt>
                <c:pt idx="1">
                  <c:v>260</c:v>
                </c:pt>
                <c:pt idx="2">
                  <c:v>262</c:v>
                </c:pt>
                <c:pt idx="3">
                  <c:v>263</c:v>
                </c:pt>
                <c:pt idx="4">
                  <c:v>267</c:v>
                </c:pt>
                <c:pt idx="5">
                  <c:v>275</c:v>
                </c:pt>
              </c:numCache>
            </c:numRef>
          </c:cat>
          <c:val>
            <c:numRef>
              <c:f>Медь!$D$2:$D$7</c:f>
              <c:numCache>
                <c:formatCode>General</c:formatCode>
                <c:ptCount val="6"/>
                <c:pt idx="0">
                  <c:v>6.0000000000000114E-3</c:v>
                </c:pt>
                <c:pt idx="1">
                  <c:v>4.9000000000000337E-3</c:v>
                </c:pt>
                <c:pt idx="2">
                  <c:v>3.2000000000000223E-3</c:v>
                </c:pt>
                <c:pt idx="3">
                  <c:v>4.9000000000000337E-3</c:v>
                </c:pt>
                <c:pt idx="4">
                  <c:v>2.8000000000000052E-3</c:v>
                </c:pt>
                <c:pt idx="5">
                  <c:v>8.5000000000000006E-3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Медь!$E$1</c:f>
              <c:strCache>
                <c:ptCount val="1"/>
                <c:pt idx="0">
                  <c:v>2007</c:v>
                </c:pt>
              </c:strCache>
            </c:strRef>
          </c:tx>
          <c:cat>
            <c:numRef>
              <c:f>Медь!$A$2:$A$7</c:f>
              <c:numCache>
                <c:formatCode>General</c:formatCode>
                <c:ptCount val="6"/>
                <c:pt idx="0">
                  <c:v>259</c:v>
                </c:pt>
                <c:pt idx="1">
                  <c:v>260</c:v>
                </c:pt>
                <c:pt idx="2">
                  <c:v>262</c:v>
                </c:pt>
                <c:pt idx="3">
                  <c:v>263</c:v>
                </c:pt>
                <c:pt idx="4">
                  <c:v>267</c:v>
                </c:pt>
                <c:pt idx="5">
                  <c:v>275</c:v>
                </c:pt>
              </c:numCache>
            </c:numRef>
          </c:cat>
          <c:val>
            <c:numRef>
              <c:f>Медь!$E$2:$E$7</c:f>
              <c:numCache>
                <c:formatCode>General</c:formatCode>
                <c:ptCount val="6"/>
                <c:pt idx="0">
                  <c:v>3.3000000000000052E-3</c:v>
                </c:pt>
                <c:pt idx="1">
                  <c:v>2.5000000000000092E-3</c:v>
                </c:pt>
                <c:pt idx="2">
                  <c:v>3.1000000000000207E-3</c:v>
                </c:pt>
                <c:pt idx="3">
                  <c:v>3.2000000000000223E-3</c:v>
                </c:pt>
                <c:pt idx="4">
                  <c:v>5.8000000000000013E-3</c:v>
                </c:pt>
                <c:pt idx="5">
                  <c:v>3.3000000000000052E-3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Медь!$F$1</c:f>
              <c:strCache>
                <c:ptCount val="1"/>
                <c:pt idx="0">
                  <c:v>2008</c:v>
                </c:pt>
              </c:strCache>
            </c:strRef>
          </c:tx>
          <c:cat>
            <c:numRef>
              <c:f>Медь!$A$2:$A$7</c:f>
              <c:numCache>
                <c:formatCode>General</c:formatCode>
                <c:ptCount val="6"/>
                <c:pt idx="0">
                  <c:v>259</c:v>
                </c:pt>
                <c:pt idx="1">
                  <c:v>260</c:v>
                </c:pt>
                <c:pt idx="2">
                  <c:v>262</c:v>
                </c:pt>
                <c:pt idx="3">
                  <c:v>263</c:v>
                </c:pt>
                <c:pt idx="4">
                  <c:v>267</c:v>
                </c:pt>
                <c:pt idx="5">
                  <c:v>275</c:v>
                </c:pt>
              </c:numCache>
            </c:numRef>
          </c:cat>
          <c:val>
            <c:numRef>
              <c:f>Медь!$F$2:$F$7</c:f>
              <c:numCache>
                <c:formatCode>General</c:formatCode>
                <c:ptCount val="6"/>
                <c:pt idx="0">
                  <c:v>2.5000000000000092E-3</c:v>
                </c:pt>
                <c:pt idx="1">
                  <c:v>3.0000000000000092E-3</c:v>
                </c:pt>
                <c:pt idx="2">
                  <c:v>2.0000000000000052E-3</c:v>
                </c:pt>
                <c:pt idx="3">
                  <c:v>2.3000000000000052E-3</c:v>
                </c:pt>
                <c:pt idx="4">
                  <c:v>2.0999999999999999E-3</c:v>
                </c:pt>
                <c:pt idx="5">
                  <c:v>2.5000000000000092E-3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797440"/>
        <c:axId val="118798976"/>
      </c:lineChart>
      <c:catAx>
        <c:axId val="118797440"/>
        <c:scaling>
          <c:orientation val="minMax"/>
        </c:scaling>
        <c:delete val="0"/>
        <c:axPos val="b"/>
        <c:majorGridlines/>
        <c:minorGridlines/>
        <c:numFmt formatCode="General" sourceLinked="1"/>
        <c:majorTickMark val="none"/>
        <c:minorTickMark val="none"/>
        <c:tickLblPos val="nextTo"/>
        <c:crossAx val="118798976"/>
        <c:crosses val="autoZero"/>
        <c:auto val="1"/>
        <c:lblAlgn val="ctr"/>
        <c:lblOffset val="100"/>
        <c:noMultiLvlLbl val="0"/>
      </c:catAx>
      <c:valAx>
        <c:axId val="1187989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000" b="1" i="0" baseline="0"/>
                  <a:t>Концентрация, мг/дм³</a:t>
                </a:r>
                <a:endParaRPr lang="ru-RU" sz="1000"/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 sz="1000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187974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>
            <a:solidFill>
              <a:schemeClr val="tx2">
                <a:lumMod val="50000"/>
              </a:schemeClr>
            </a:solidFill>
          </a:ln>
        </c:spPr>
      </c:dTable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Молибден!$B$1</c:f>
              <c:strCache>
                <c:ptCount val="1"/>
                <c:pt idx="0">
                  <c:v>2000</c:v>
                </c:pt>
              </c:strCache>
            </c:strRef>
          </c:tx>
          <c:cat>
            <c:numRef>
              <c:f>Молибден!$A$2:$A$7</c:f>
              <c:numCache>
                <c:formatCode>General</c:formatCode>
                <c:ptCount val="6"/>
                <c:pt idx="0">
                  <c:v>259</c:v>
                </c:pt>
                <c:pt idx="1">
                  <c:v>260</c:v>
                </c:pt>
                <c:pt idx="2">
                  <c:v>262</c:v>
                </c:pt>
                <c:pt idx="3">
                  <c:v>263</c:v>
                </c:pt>
                <c:pt idx="4">
                  <c:v>267</c:v>
                </c:pt>
                <c:pt idx="5">
                  <c:v>275</c:v>
                </c:pt>
              </c:numCache>
            </c:numRef>
          </c:cat>
          <c:val>
            <c:numRef>
              <c:f>Молибден!$B$2:$B$7</c:f>
              <c:numCache>
                <c:formatCode>General</c:formatCode>
                <c:ptCount val="6"/>
                <c:pt idx="0">
                  <c:v>2.07E-2</c:v>
                </c:pt>
                <c:pt idx="1">
                  <c:v>8.4000000000000047E-3</c:v>
                </c:pt>
                <c:pt idx="2">
                  <c:v>8.7000000000000046E-3</c:v>
                </c:pt>
                <c:pt idx="3">
                  <c:v>1.8499999999999999E-2</c:v>
                </c:pt>
                <c:pt idx="4">
                  <c:v>6.9000000000000424E-3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Молибден!$D$1</c:f>
              <c:strCache>
                <c:ptCount val="1"/>
                <c:pt idx="0">
                  <c:v>2005</c:v>
                </c:pt>
              </c:strCache>
            </c:strRef>
          </c:tx>
          <c:cat>
            <c:numRef>
              <c:f>Молибден!$A$2:$A$7</c:f>
              <c:numCache>
                <c:formatCode>General</c:formatCode>
                <c:ptCount val="6"/>
                <c:pt idx="0">
                  <c:v>259</c:v>
                </c:pt>
                <c:pt idx="1">
                  <c:v>260</c:v>
                </c:pt>
                <c:pt idx="2">
                  <c:v>262</c:v>
                </c:pt>
                <c:pt idx="3">
                  <c:v>263</c:v>
                </c:pt>
                <c:pt idx="4">
                  <c:v>267</c:v>
                </c:pt>
                <c:pt idx="5">
                  <c:v>275</c:v>
                </c:pt>
              </c:numCache>
            </c:numRef>
          </c:cat>
          <c:val>
            <c:numRef>
              <c:f>Молибден!$D$2:$D$7</c:f>
              <c:numCache>
                <c:formatCode>General</c:formatCode>
                <c:ptCount val="6"/>
                <c:pt idx="0">
                  <c:v>4.6000000000000034E-3</c:v>
                </c:pt>
                <c:pt idx="1">
                  <c:v>2.8000000000000052E-3</c:v>
                </c:pt>
                <c:pt idx="2">
                  <c:v>1.7000000000000079E-3</c:v>
                </c:pt>
                <c:pt idx="3">
                  <c:v>1.8000000000000112E-3</c:v>
                </c:pt>
                <c:pt idx="4">
                  <c:v>1.7000000000000079E-3</c:v>
                </c:pt>
                <c:pt idx="5">
                  <c:v>3.8000000000000052E-3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Молибден!$E$1</c:f>
              <c:strCache>
                <c:ptCount val="1"/>
                <c:pt idx="0">
                  <c:v>2007</c:v>
                </c:pt>
              </c:strCache>
            </c:strRef>
          </c:tx>
          <c:cat>
            <c:numRef>
              <c:f>Молибден!$A$2:$A$7</c:f>
              <c:numCache>
                <c:formatCode>General</c:formatCode>
                <c:ptCount val="6"/>
                <c:pt idx="0">
                  <c:v>259</c:v>
                </c:pt>
                <c:pt idx="1">
                  <c:v>260</c:v>
                </c:pt>
                <c:pt idx="2">
                  <c:v>262</c:v>
                </c:pt>
                <c:pt idx="3">
                  <c:v>263</c:v>
                </c:pt>
                <c:pt idx="4">
                  <c:v>267</c:v>
                </c:pt>
                <c:pt idx="5">
                  <c:v>275</c:v>
                </c:pt>
              </c:numCache>
            </c:numRef>
          </c:cat>
          <c:val>
            <c:numRef>
              <c:f>Молибден!$E$2:$E$7</c:f>
              <c:numCache>
                <c:formatCode>General</c:formatCode>
                <c:ptCount val="6"/>
                <c:pt idx="0">
                  <c:v>2.5999999999999999E-3</c:v>
                </c:pt>
                <c:pt idx="1">
                  <c:v>3.2000000000000223E-3</c:v>
                </c:pt>
                <c:pt idx="2">
                  <c:v>2.5000000000000092E-3</c:v>
                </c:pt>
                <c:pt idx="3">
                  <c:v>2.3000000000000052E-3</c:v>
                </c:pt>
                <c:pt idx="4">
                  <c:v>2.8000000000000052E-3</c:v>
                </c:pt>
                <c:pt idx="5">
                  <c:v>1.6000000000000107E-3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Молибден!$F$1</c:f>
              <c:strCache>
                <c:ptCount val="1"/>
                <c:pt idx="0">
                  <c:v>2008</c:v>
                </c:pt>
              </c:strCache>
            </c:strRef>
          </c:tx>
          <c:cat>
            <c:numRef>
              <c:f>Молибден!$A$2:$A$7</c:f>
              <c:numCache>
                <c:formatCode>General</c:formatCode>
                <c:ptCount val="6"/>
                <c:pt idx="0">
                  <c:v>259</c:v>
                </c:pt>
                <c:pt idx="1">
                  <c:v>260</c:v>
                </c:pt>
                <c:pt idx="2">
                  <c:v>262</c:v>
                </c:pt>
                <c:pt idx="3">
                  <c:v>263</c:v>
                </c:pt>
                <c:pt idx="4">
                  <c:v>267</c:v>
                </c:pt>
                <c:pt idx="5">
                  <c:v>275</c:v>
                </c:pt>
              </c:numCache>
            </c:numRef>
          </c:cat>
          <c:val>
            <c:numRef>
              <c:f>Молибден!$F$2:$F$7</c:f>
              <c:numCache>
                <c:formatCode>General</c:formatCode>
                <c:ptCount val="6"/>
                <c:pt idx="0">
                  <c:v>2.8000000000000052E-3</c:v>
                </c:pt>
                <c:pt idx="1">
                  <c:v>1.4000000000000041E-3</c:v>
                </c:pt>
                <c:pt idx="2">
                  <c:v>1.9000000000000145E-3</c:v>
                </c:pt>
                <c:pt idx="3">
                  <c:v>1.1999999999999999E-3</c:v>
                </c:pt>
                <c:pt idx="4">
                  <c:v>1.4000000000000041E-3</c:v>
                </c:pt>
                <c:pt idx="5">
                  <c:v>1.0000000000000041E-3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642944"/>
        <c:axId val="118657024"/>
      </c:lineChart>
      <c:catAx>
        <c:axId val="118642944"/>
        <c:scaling>
          <c:orientation val="minMax"/>
        </c:scaling>
        <c:delete val="0"/>
        <c:axPos val="b"/>
        <c:majorGridlines/>
        <c:minorGridlines/>
        <c:numFmt formatCode="General" sourceLinked="1"/>
        <c:majorTickMark val="none"/>
        <c:minorTickMark val="none"/>
        <c:tickLblPos val="nextTo"/>
        <c:crossAx val="118657024"/>
        <c:crosses val="autoZero"/>
        <c:auto val="1"/>
        <c:lblAlgn val="ctr"/>
        <c:lblOffset val="100"/>
        <c:noMultiLvlLbl val="0"/>
      </c:catAx>
      <c:valAx>
        <c:axId val="1186570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0"/>
                </a:pPr>
                <a:r>
                  <a:rPr lang="ru-RU" sz="1000" b="1" i="0" baseline="0"/>
                  <a:t>Концентрация, мг/дм³</a:t>
                </a:r>
                <a:endParaRPr lang="ru-RU" sz="1000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186429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>
            <a:solidFill>
              <a:schemeClr val="tx2">
                <a:lumMod val="50000"/>
              </a:schemeClr>
            </a:solidFill>
          </a:ln>
        </c:spPr>
      </c:dTable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Никель!$B$1</c:f>
              <c:strCache>
                <c:ptCount val="1"/>
                <c:pt idx="0">
                  <c:v>2000</c:v>
                </c:pt>
              </c:strCache>
            </c:strRef>
          </c:tx>
          <c:cat>
            <c:numRef>
              <c:f>Никель!$A$2:$A$7</c:f>
              <c:numCache>
                <c:formatCode>General</c:formatCode>
                <c:ptCount val="6"/>
                <c:pt idx="0">
                  <c:v>259</c:v>
                </c:pt>
                <c:pt idx="1">
                  <c:v>260</c:v>
                </c:pt>
                <c:pt idx="2">
                  <c:v>262</c:v>
                </c:pt>
                <c:pt idx="3">
                  <c:v>263</c:v>
                </c:pt>
                <c:pt idx="4">
                  <c:v>267</c:v>
                </c:pt>
                <c:pt idx="5">
                  <c:v>275</c:v>
                </c:pt>
              </c:numCache>
            </c:numRef>
          </c:cat>
          <c:val>
            <c:numRef>
              <c:f>Никель!$B$2:$B$7</c:f>
              <c:numCache>
                <c:formatCode>General</c:formatCode>
                <c:ptCount val="6"/>
                <c:pt idx="0">
                  <c:v>2.0000000000000011E-2</c:v>
                </c:pt>
                <c:pt idx="1">
                  <c:v>5.9500000000000032E-2</c:v>
                </c:pt>
                <c:pt idx="2">
                  <c:v>1.7500000000000005E-2</c:v>
                </c:pt>
                <c:pt idx="3">
                  <c:v>2.0900000000000002E-2</c:v>
                </c:pt>
                <c:pt idx="4">
                  <c:v>2.2300000000000011E-2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Никель!$C$1</c:f>
              <c:strCache>
                <c:ptCount val="1"/>
                <c:pt idx="0">
                  <c:v>2003</c:v>
                </c:pt>
              </c:strCache>
            </c:strRef>
          </c:tx>
          <c:cat>
            <c:numRef>
              <c:f>Никель!$A$2:$A$7</c:f>
              <c:numCache>
                <c:formatCode>General</c:formatCode>
                <c:ptCount val="6"/>
                <c:pt idx="0">
                  <c:v>259</c:v>
                </c:pt>
                <c:pt idx="1">
                  <c:v>260</c:v>
                </c:pt>
                <c:pt idx="2">
                  <c:v>262</c:v>
                </c:pt>
                <c:pt idx="3">
                  <c:v>263</c:v>
                </c:pt>
                <c:pt idx="4">
                  <c:v>267</c:v>
                </c:pt>
                <c:pt idx="5">
                  <c:v>275</c:v>
                </c:pt>
              </c:numCache>
            </c:numRef>
          </c:cat>
          <c:val>
            <c:numRef>
              <c:f>Никель!$C$2:$C$7</c:f>
              <c:numCache>
                <c:formatCode>General</c:formatCode>
                <c:ptCount val="6"/>
                <c:pt idx="0">
                  <c:v>8.8000000000000248E-3</c:v>
                </c:pt>
                <c:pt idx="1">
                  <c:v>1.0000000000000005E-2</c:v>
                </c:pt>
                <c:pt idx="2">
                  <c:v>5.6000000000000034E-3</c:v>
                </c:pt>
                <c:pt idx="3">
                  <c:v>1.7999999999999999E-2</c:v>
                </c:pt>
                <c:pt idx="4">
                  <c:v>8.3000000000000226E-3</c:v>
                </c:pt>
                <c:pt idx="5">
                  <c:v>1.0699999999999998E-2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Никель!$D$1</c:f>
              <c:strCache>
                <c:ptCount val="1"/>
                <c:pt idx="0">
                  <c:v>2005</c:v>
                </c:pt>
              </c:strCache>
            </c:strRef>
          </c:tx>
          <c:cat>
            <c:numRef>
              <c:f>Никель!$A$2:$A$7</c:f>
              <c:numCache>
                <c:formatCode>General</c:formatCode>
                <c:ptCount val="6"/>
                <c:pt idx="0">
                  <c:v>259</c:v>
                </c:pt>
                <c:pt idx="1">
                  <c:v>260</c:v>
                </c:pt>
                <c:pt idx="2">
                  <c:v>262</c:v>
                </c:pt>
                <c:pt idx="3">
                  <c:v>263</c:v>
                </c:pt>
                <c:pt idx="4">
                  <c:v>267</c:v>
                </c:pt>
                <c:pt idx="5">
                  <c:v>275</c:v>
                </c:pt>
              </c:numCache>
            </c:numRef>
          </c:cat>
          <c:val>
            <c:numRef>
              <c:f>Никель!$D$2:$D$7</c:f>
              <c:numCache>
                <c:formatCode>General</c:formatCode>
                <c:ptCount val="6"/>
                <c:pt idx="0">
                  <c:v>1.350000000000008E-2</c:v>
                </c:pt>
                <c:pt idx="1">
                  <c:v>6.6000000000000034E-3</c:v>
                </c:pt>
                <c:pt idx="2">
                  <c:v>1.1700000000000092E-2</c:v>
                </c:pt>
                <c:pt idx="3">
                  <c:v>8.7000000000000046E-3</c:v>
                </c:pt>
                <c:pt idx="4">
                  <c:v>9.5000000000000067E-3</c:v>
                </c:pt>
                <c:pt idx="5">
                  <c:v>1.3899999999999999E-2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Никель!$E$1</c:f>
              <c:strCache>
                <c:ptCount val="1"/>
                <c:pt idx="0">
                  <c:v>2007</c:v>
                </c:pt>
              </c:strCache>
            </c:strRef>
          </c:tx>
          <c:cat>
            <c:numRef>
              <c:f>Никель!$A$2:$A$7</c:f>
              <c:numCache>
                <c:formatCode>General</c:formatCode>
                <c:ptCount val="6"/>
                <c:pt idx="0">
                  <c:v>259</c:v>
                </c:pt>
                <c:pt idx="1">
                  <c:v>260</c:v>
                </c:pt>
                <c:pt idx="2">
                  <c:v>262</c:v>
                </c:pt>
                <c:pt idx="3">
                  <c:v>263</c:v>
                </c:pt>
                <c:pt idx="4">
                  <c:v>267</c:v>
                </c:pt>
                <c:pt idx="5">
                  <c:v>275</c:v>
                </c:pt>
              </c:numCache>
            </c:numRef>
          </c:cat>
          <c:val>
            <c:numRef>
              <c:f>Никель!$E$2:$E$7</c:f>
              <c:numCache>
                <c:formatCode>General</c:formatCode>
                <c:ptCount val="6"/>
                <c:pt idx="0">
                  <c:v>1.8000000000000112E-3</c:v>
                </c:pt>
                <c:pt idx="1">
                  <c:v>2.0999999999999999E-3</c:v>
                </c:pt>
                <c:pt idx="2">
                  <c:v>1.5000000000000083E-3</c:v>
                </c:pt>
                <c:pt idx="3">
                  <c:v>2.8000000000000052E-3</c:v>
                </c:pt>
                <c:pt idx="4">
                  <c:v>2.8000000000000052E-3</c:v>
                </c:pt>
                <c:pt idx="5">
                  <c:v>2.8999999999999998E-3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Никель!$F$1</c:f>
              <c:strCache>
                <c:ptCount val="1"/>
                <c:pt idx="0">
                  <c:v>2008</c:v>
                </c:pt>
              </c:strCache>
            </c:strRef>
          </c:tx>
          <c:cat>
            <c:numRef>
              <c:f>Никель!$A$2:$A$7</c:f>
              <c:numCache>
                <c:formatCode>General</c:formatCode>
                <c:ptCount val="6"/>
                <c:pt idx="0">
                  <c:v>259</c:v>
                </c:pt>
                <c:pt idx="1">
                  <c:v>260</c:v>
                </c:pt>
                <c:pt idx="2">
                  <c:v>262</c:v>
                </c:pt>
                <c:pt idx="3">
                  <c:v>263</c:v>
                </c:pt>
                <c:pt idx="4">
                  <c:v>267</c:v>
                </c:pt>
                <c:pt idx="5">
                  <c:v>275</c:v>
                </c:pt>
              </c:numCache>
            </c:numRef>
          </c:cat>
          <c:val>
            <c:numRef>
              <c:f>Никель!$F$2:$F$7</c:f>
              <c:numCache>
                <c:formatCode>General</c:formatCode>
                <c:ptCount val="6"/>
                <c:pt idx="0">
                  <c:v>2.5000000000000092E-3</c:v>
                </c:pt>
                <c:pt idx="1">
                  <c:v>2.2000000000000092E-3</c:v>
                </c:pt>
                <c:pt idx="2">
                  <c:v>2.3000000000000052E-3</c:v>
                </c:pt>
                <c:pt idx="3">
                  <c:v>1.9000000000000145E-3</c:v>
                </c:pt>
                <c:pt idx="4">
                  <c:v>2.2000000000000092E-3</c:v>
                </c:pt>
                <c:pt idx="5">
                  <c:v>2.0999999999999999E-3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760256"/>
        <c:axId val="145761792"/>
      </c:lineChart>
      <c:catAx>
        <c:axId val="145760256"/>
        <c:scaling>
          <c:orientation val="minMax"/>
        </c:scaling>
        <c:delete val="0"/>
        <c:axPos val="b"/>
        <c:majorGridlines/>
        <c:minorGridlines/>
        <c:numFmt formatCode="General" sourceLinked="1"/>
        <c:majorTickMark val="none"/>
        <c:minorTickMark val="none"/>
        <c:tickLblPos val="nextTo"/>
        <c:crossAx val="145761792"/>
        <c:crosses val="autoZero"/>
        <c:auto val="1"/>
        <c:lblAlgn val="ctr"/>
        <c:lblOffset val="100"/>
        <c:noMultiLvlLbl val="0"/>
      </c:catAx>
      <c:valAx>
        <c:axId val="14576179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0"/>
                </a:pPr>
                <a:r>
                  <a:rPr lang="ru-RU" sz="1000" b="1" i="0" baseline="0"/>
                  <a:t>Концентрация, мг/дм³</a:t>
                </a:r>
                <a:endParaRPr lang="ru-RU" sz="1000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457602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>
            <a:solidFill>
              <a:schemeClr val="tx2">
                <a:lumMod val="50000"/>
              </a:schemeClr>
            </a:solidFill>
          </a:ln>
        </c:spPr>
      </c:dTable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Свинец!$B$1</c:f>
              <c:strCache>
                <c:ptCount val="1"/>
                <c:pt idx="0">
                  <c:v>2000</c:v>
                </c:pt>
              </c:strCache>
            </c:strRef>
          </c:tx>
          <c:cat>
            <c:numRef>
              <c:f>Свинец!$A$2:$A$7</c:f>
              <c:numCache>
                <c:formatCode>General</c:formatCode>
                <c:ptCount val="6"/>
                <c:pt idx="0">
                  <c:v>259</c:v>
                </c:pt>
                <c:pt idx="1">
                  <c:v>260</c:v>
                </c:pt>
                <c:pt idx="2">
                  <c:v>262</c:v>
                </c:pt>
                <c:pt idx="3">
                  <c:v>263</c:v>
                </c:pt>
                <c:pt idx="4">
                  <c:v>267</c:v>
                </c:pt>
                <c:pt idx="5">
                  <c:v>275</c:v>
                </c:pt>
              </c:numCache>
            </c:numRef>
          </c:cat>
          <c:val>
            <c:numRef>
              <c:f>Свинец!$B$2:$B$7</c:f>
              <c:numCache>
                <c:formatCode>General</c:formatCode>
                <c:ptCount val="6"/>
                <c:pt idx="0">
                  <c:v>5.8000000000000013E-3</c:v>
                </c:pt>
                <c:pt idx="1">
                  <c:v>3.0000000000000092E-3</c:v>
                </c:pt>
                <c:pt idx="2">
                  <c:v>5.1000000000000004E-3</c:v>
                </c:pt>
                <c:pt idx="3">
                  <c:v>1.1400000000000087E-2</c:v>
                </c:pt>
                <c:pt idx="4">
                  <c:v>3.1000000000000207E-3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Свинец!$C$1</c:f>
              <c:strCache>
                <c:ptCount val="1"/>
                <c:pt idx="0">
                  <c:v>2003</c:v>
                </c:pt>
              </c:strCache>
            </c:strRef>
          </c:tx>
          <c:cat>
            <c:numRef>
              <c:f>Свинец!$A$2:$A$7</c:f>
              <c:numCache>
                <c:formatCode>General</c:formatCode>
                <c:ptCount val="6"/>
                <c:pt idx="0">
                  <c:v>259</c:v>
                </c:pt>
                <c:pt idx="1">
                  <c:v>260</c:v>
                </c:pt>
                <c:pt idx="2">
                  <c:v>262</c:v>
                </c:pt>
                <c:pt idx="3">
                  <c:v>263</c:v>
                </c:pt>
                <c:pt idx="4">
                  <c:v>267</c:v>
                </c:pt>
                <c:pt idx="5">
                  <c:v>275</c:v>
                </c:pt>
              </c:numCache>
            </c:numRef>
          </c:cat>
          <c:val>
            <c:numRef>
              <c:f>Свинец!$C$2:$C$7</c:f>
              <c:numCache>
                <c:formatCode>General</c:formatCode>
                <c:ptCount val="6"/>
                <c:pt idx="0">
                  <c:v>2.0000000000000052E-3</c:v>
                </c:pt>
                <c:pt idx="1">
                  <c:v>2.0000000000000052E-3</c:v>
                </c:pt>
                <c:pt idx="2">
                  <c:v>7.0000000000000476E-4</c:v>
                </c:pt>
                <c:pt idx="3">
                  <c:v>8.0000000000000227E-3</c:v>
                </c:pt>
                <c:pt idx="4">
                  <c:v>2.0000000000000052E-3</c:v>
                </c:pt>
                <c:pt idx="5">
                  <c:v>4.0000000000000114E-3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Свинец!$D$1</c:f>
              <c:strCache>
                <c:ptCount val="1"/>
                <c:pt idx="0">
                  <c:v>2005</c:v>
                </c:pt>
              </c:strCache>
            </c:strRef>
          </c:tx>
          <c:cat>
            <c:numRef>
              <c:f>Свинец!$A$2:$A$7</c:f>
              <c:numCache>
                <c:formatCode>General</c:formatCode>
                <c:ptCount val="6"/>
                <c:pt idx="0">
                  <c:v>259</c:v>
                </c:pt>
                <c:pt idx="1">
                  <c:v>260</c:v>
                </c:pt>
                <c:pt idx="2">
                  <c:v>262</c:v>
                </c:pt>
                <c:pt idx="3">
                  <c:v>263</c:v>
                </c:pt>
                <c:pt idx="4">
                  <c:v>267</c:v>
                </c:pt>
                <c:pt idx="5">
                  <c:v>275</c:v>
                </c:pt>
              </c:numCache>
            </c:numRef>
          </c:cat>
          <c:val>
            <c:numRef>
              <c:f>Свинец!$D$2:$D$7</c:f>
              <c:numCache>
                <c:formatCode>General</c:formatCode>
                <c:ptCount val="6"/>
                <c:pt idx="0">
                  <c:v>4.5000000000000014E-3</c:v>
                </c:pt>
                <c:pt idx="1">
                  <c:v>2.3999999999999998E-3</c:v>
                </c:pt>
                <c:pt idx="2">
                  <c:v>1.9000000000000145E-3</c:v>
                </c:pt>
                <c:pt idx="3">
                  <c:v>1.9000000000000145E-3</c:v>
                </c:pt>
                <c:pt idx="4">
                  <c:v>2.8000000000000052E-3</c:v>
                </c:pt>
                <c:pt idx="5">
                  <c:v>3.1000000000000207E-3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Свинец!$E$1</c:f>
              <c:strCache>
                <c:ptCount val="1"/>
                <c:pt idx="0">
                  <c:v>2007</c:v>
                </c:pt>
              </c:strCache>
            </c:strRef>
          </c:tx>
          <c:cat>
            <c:numRef>
              <c:f>Свинец!$A$2:$A$7</c:f>
              <c:numCache>
                <c:formatCode>General</c:formatCode>
                <c:ptCount val="6"/>
                <c:pt idx="0">
                  <c:v>259</c:v>
                </c:pt>
                <c:pt idx="1">
                  <c:v>260</c:v>
                </c:pt>
                <c:pt idx="2">
                  <c:v>262</c:v>
                </c:pt>
                <c:pt idx="3">
                  <c:v>263</c:v>
                </c:pt>
                <c:pt idx="4">
                  <c:v>267</c:v>
                </c:pt>
                <c:pt idx="5">
                  <c:v>275</c:v>
                </c:pt>
              </c:numCache>
            </c:numRef>
          </c:cat>
          <c:val>
            <c:numRef>
              <c:f>Свинец!$E$2:$E$7</c:f>
              <c:numCache>
                <c:formatCode>General</c:formatCode>
                <c:ptCount val="6"/>
                <c:pt idx="0">
                  <c:v>1.5000000000000083E-3</c:v>
                </c:pt>
                <c:pt idx="1">
                  <c:v>2.5000000000000092E-3</c:v>
                </c:pt>
                <c:pt idx="2">
                  <c:v>2.2000000000000092E-3</c:v>
                </c:pt>
                <c:pt idx="3">
                  <c:v>3.0000000000000092E-3</c:v>
                </c:pt>
                <c:pt idx="4">
                  <c:v>3.2000000000000223E-3</c:v>
                </c:pt>
                <c:pt idx="5">
                  <c:v>9.0000000000000247E-4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Свинец!$F$1</c:f>
              <c:strCache>
                <c:ptCount val="1"/>
                <c:pt idx="0">
                  <c:v>2008</c:v>
                </c:pt>
              </c:strCache>
            </c:strRef>
          </c:tx>
          <c:cat>
            <c:numRef>
              <c:f>Свинец!$A$2:$A$7</c:f>
              <c:numCache>
                <c:formatCode>General</c:formatCode>
                <c:ptCount val="6"/>
                <c:pt idx="0">
                  <c:v>259</c:v>
                </c:pt>
                <c:pt idx="1">
                  <c:v>260</c:v>
                </c:pt>
                <c:pt idx="2">
                  <c:v>262</c:v>
                </c:pt>
                <c:pt idx="3">
                  <c:v>263</c:v>
                </c:pt>
                <c:pt idx="4">
                  <c:v>267</c:v>
                </c:pt>
                <c:pt idx="5">
                  <c:v>275</c:v>
                </c:pt>
              </c:numCache>
            </c:numRef>
          </c:cat>
          <c:val>
            <c:numRef>
              <c:f>Свинец!$F$2:$F$7</c:f>
              <c:numCache>
                <c:formatCode>General</c:formatCode>
                <c:ptCount val="6"/>
                <c:pt idx="0">
                  <c:v>3.1000000000000207E-3</c:v>
                </c:pt>
                <c:pt idx="1">
                  <c:v>3.7000000000000275E-3</c:v>
                </c:pt>
                <c:pt idx="2">
                  <c:v>2.8999999999999998E-3</c:v>
                </c:pt>
                <c:pt idx="3">
                  <c:v>2.3000000000000052E-3</c:v>
                </c:pt>
                <c:pt idx="4">
                  <c:v>1.9000000000000145E-3</c:v>
                </c:pt>
                <c:pt idx="5">
                  <c:v>2.5999999999999999E-3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872768"/>
        <c:axId val="145874304"/>
      </c:lineChart>
      <c:catAx>
        <c:axId val="145872768"/>
        <c:scaling>
          <c:orientation val="minMax"/>
        </c:scaling>
        <c:delete val="0"/>
        <c:axPos val="b"/>
        <c:majorGridlines/>
        <c:minorGridlines/>
        <c:numFmt formatCode="General" sourceLinked="1"/>
        <c:majorTickMark val="none"/>
        <c:minorTickMark val="none"/>
        <c:tickLblPos val="nextTo"/>
        <c:crossAx val="145874304"/>
        <c:crosses val="autoZero"/>
        <c:auto val="1"/>
        <c:lblAlgn val="ctr"/>
        <c:lblOffset val="100"/>
        <c:noMultiLvlLbl val="0"/>
      </c:catAx>
      <c:valAx>
        <c:axId val="1458743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000" b="1" i="0" baseline="0"/>
                  <a:t>Концентрация, мг/дм³</a:t>
                </a:r>
                <a:endParaRPr lang="ru-RU" sz="1000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458727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>
            <a:solidFill>
              <a:schemeClr val="tx2">
                <a:lumMod val="50000"/>
              </a:schemeClr>
            </a:solidFill>
          </a:ln>
        </c:spPr>
      </c:dTable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Хром!$B$1</c:f>
              <c:strCache>
                <c:ptCount val="1"/>
                <c:pt idx="0">
                  <c:v>2000</c:v>
                </c:pt>
              </c:strCache>
            </c:strRef>
          </c:tx>
          <c:cat>
            <c:numRef>
              <c:f>Хром!$A$2:$A$7</c:f>
              <c:numCache>
                <c:formatCode>General</c:formatCode>
                <c:ptCount val="6"/>
                <c:pt idx="0">
                  <c:v>259</c:v>
                </c:pt>
                <c:pt idx="1">
                  <c:v>260</c:v>
                </c:pt>
                <c:pt idx="2">
                  <c:v>262</c:v>
                </c:pt>
                <c:pt idx="3">
                  <c:v>263</c:v>
                </c:pt>
                <c:pt idx="4">
                  <c:v>267</c:v>
                </c:pt>
                <c:pt idx="5">
                  <c:v>275</c:v>
                </c:pt>
              </c:numCache>
            </c:numRef>
          </c:cat>
          <c:val>
            <c:numRef>
              <c:f>Хром!$B$2:$B$7</c:f>
              <c:numCache>
                <c:formatCode>General</c:formatCode>
                <c:ptCount val="6"/>
                <c:pt idx="0">
                  <c:v>1.2999999999999978E-3</c:v>
                </c:pt>
                <c:pt idx="1">
                  <c:v>1.4000000000000041E-3</c:v>
                </c:pt>
                <c:pt idx="2">
                  <c:v>5.5000000000000014E-3</c:v>
                </c:pt>
                <c:pt idx="3">
                  <c:v>2.8000000000000052E-3</c:v>
                </c:pt>
                <c:pt idx="4">
                  <c:v>4.0000000000000114E-3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Хром!$C$1</c:f>
              <c:strCache>
                <c:ptCount val="1"/>
                <c:pt idx="0">
                  <c:v>2003</c:v>
                </c:pt>
              </c:strCache>
            </c:strRef>
          </c:tx>
          <c:cat>
            <c:numRef>
              <c:f>Хром!$A$2:$A$7</c:f>
              <c:numCache>
                <c:formatCode>General</c:formatCode>
                <c:ptCount val="6"/>
                <c:pt idx="0">
                  <c:v>259</c:v>
                </c:pt>
                <c:pt idx="1">
                  <c:v>260</c:v>
                </c:pt>
                <c:pt idx="2">
                  <c:v>262</c:v>
                </c:pt>
                <c:pt idx="3">
                  <c:v>263</c:v>
                </c:pt>
                <c:pt idx="4">
                  <c:v>267</c:v>
                </c:pt>
                <c:pt idx="5">
                  <c:v>275</c:v>
                </c:pt>
              </c:numCache>
            </c:numRef>
          </c:cat>
          <c:val>
            <c:numRef>
              <c:f>Хром!$C$2:$C$7</c:f>
              <c:numCache>
                <c:formatCode>General</c:formatCode>
                <c:ptCount val="6"/>
                <c:pt idx="0">
                  <c:v>2.0000000000000052E-4</c:v>
                </c:pt>
                <c:pt idx="1">
                  <c:v>1.6000000000000107E-3</c:v>
                </c:pt>
                <c:pt idx="2">
                  <c:v>1.0000000000000078E-4</c:v>
                </c:pt>
                <c:pt idx="3">
                  <c:v>7.0000000000000476E-4</c:v>
                </c:pt>
                <c:pt idx="4">
                  <c:v>4.0000000000000034E-4</c:v>
                </c:pt>
                <c:pt idx="5">
                  <c:v>2.0000000000000052E-4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Хром!$D$1</c:f>
              <c:strCache>
                <c:ptCount val="1"/>
                <c:pt idx="0">
                  <c:v>2005</c:v>
                </c:pt>
              </c:strCache>
            </c:strRef>
          </c:tx>
          <c:cat>
            <c:numRef>
              <c:f>Хром!$A$2:$A$7</c:f>
              <c:numCache>
                <c:formatCode>General</c:formatCode>
                <c:ptCount val="6"/>
                <c:pt idx="0">
                  <c:v>259</c:v>
                </c:pt>
                <c:pt idx="1">
                  <c:v>260</c:v>
                </c:pt>
                <c:pt idx="2">
                  <c:v>262</c:v>
                </c:pt>
                <c:pt idx="3">
                  <c:v>263</c:v>
                </c:pt>
                <c:pt idx="4">
                  <c:v>267</c:v>
                </c:pt>
                <c:pt idx="5">
                  <c:v>275</c:v>
                </c:pt>
              </c:numCache>
            </c:numRef>
          </c:cat>
          <c:val>
            <c:numRef>
              <c:f>Хром!$D$2:$D$7</c:f>
              <c:numCache>
                <c:formatCode>General</c:formatCode>
                <c:ptCount val="6"/>
                <c:pt idx="0">
                  <c:v>7.0000000000000476E-4</c:v>
                </c:pt>
                <c:pt idx="1">
                  <c:v>3.000000000000023E-4</c:v>
                </c:pt>
                <c:pt idx="2">
                  <c:v>6.0000000000000418E-4</c:v>
                </c:pt>
                <c:pt idx="3">
                  <c:v>5.0000000000000034E-4</c:v>
                </c:pt>
                <c:pt idx="4">
                  <c:v>5.0000000000000034E-4</c:v>
                </c:pt>
                <c:pt idx="5">
                  <c:v>4.0000000000000034E-4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Хром!$E$1</c:f>
              <c:strCache>
                <c:ptCount val="1"/>
                <c:pt idx="0">
                  <c:v>2007</c:v>
                </c:pt>
              </c:strCache>
            </c:strRef>
          </c:tx>
          <c:cat>
            <c:numRef>
              <c:f>Хром!$A$2:$A$7</c:f>
              <c:numCache>
                <c:formatCode>General</c:formatCode>
                <c:ptCount val="6"/>
                <c:pt idx="0">
                  <c:v>259</c:v>
                </c:pt>
                <c:pt idx="1">
                  <c:v>260</c:v>
                </c:pt>
                <c:pt idx="2">
                  <c:v>262</c:v>
                </c:pt>
                <c:pt idx="3">
                  <c:v>263</c:v>
                </c:pt>
                <c:pt idx="4">
                  <c:v>267</c:v>
                </c:pt>
                <c:pt idx="5">
                  <c:v>275</c:v>
                </c:pt>
              </c:numCache>
            </c:numRef>
          </c:cat>
          <c:val>
            <c:numRef>
              <c:f>Хром!$E$2:$E$7</c:f>
              <c:numCache>
                <c:formatCode>General</c:formatCode>
                <c:ptCount val="6"/>
                <c:pt idx="0">
                  <c:v>4.1000000000000003E-3</c:v>
                </c:pt>
                <c:pt idx="1">
                  <c:v>6.0000000000000418E-4</c:v>
                </c:pt>
                <c:pt idx="2">
                  <c:v>4.0000000000000034E-4</c:v>
                </c:pt>
                <c:pt idx="3">
                  <c:v>2.5000000000000092E-3</c:v>
                </c:pt>
                <c:pt idx="4">
                  <c:v>6.0000000000000418E-4</c:v>
                </c:pt>
                <c:pt idx="5">
                  <c:v>1.1999999999999999E-3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Хром!$F$1</c:f>
              <c:strCache>
                <c:ptCount val="1"/>
                <c:pt idx="0">
                  <c:v>2008</c:v>
                </c:pt>
              </c:strCache>
            </c:strRef>
          </c:tx>
          <c:cat>
            <c:numRef>
              <c:f>Хром!$A$2:$A$7</c:f>
              <c:numCache>
                <c:formatCode>General</c:formatCode>
                <c:ptCount val="6"/>
                <c:pt idx="0">
                  <c:v>259</c:v>
                </c:pt>
                <c:pt idx="1">
                  <c:v>260</c:v>
                </c:pt>
                <c:pt idx="2">
                  <c:v>262</c:v>
                </c:pt>
                <c:pt idx="3">
                  <c:v>263</c:v>
                </c:pt>
                <c:pt idx="4">
                  <c:v>267</c:v>
                </c:pt>
                <c:pt idx="5">
                  <c:v>275</c:v>
                </c:pt>
              </c:numCache>
            </c:numRef>
          </c:cat>
          <c:val>
            <c:numRef>
              <c:f>Хром!$F$2:$F$7</c:f>
              <c:numCache>
                <c:formatCode>General</c:formatCode>
                <c:ptCount val="6"/>
                <c:pt idx="0">
                  <c:v>1.2999999999999978E-3</c:v>
                </c:pt>
                <c:pt idx="1">
                  <c:v>1.8000000000000112E-3</c:v>
                </c:pt>
                <c:pt idx="2">
                  <c:v>1.0000000000000041E-3</c:v>
                </c:pt>
                <c:pt idx="3">
                  <c:v>7.0000000000000476E-4</c:v>
                </c:pt>
                <c:pt idx="4">
                  <c:v>1.0000000000000041E-3</c:v>
                </c:pt>
                <c:pt idx="5">
                  <c:v>1.5000000000000083E-3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911808"/>
        <c:axId val="145913344"/>
      </c:lineChart>
      <c:catAx>
        <c:axId val="145911808"/>
        <c:scaling>
          <c:orientation val="minMax"/>
        </c:scaling>
        <c:delete val="0"/>
        <c:axPos val="b"/>
        <c:majorGridlines/>
        <c:minorGridlines/>
        <c:numFmt formatCode="General" sourceLinked="1"/>
        <c:majorTickMark val="none"/>
        <c:minorTickMark val="none"/>
        <c:tickLblPos val="nextTo"/>
        <c:crossAx val="145913344"/>
        <c:crosses val="autoZero"/>
        <c:auto val="1"/>
        <c:lblAlgn val="ctr"/>
        <c:lblOffset val="100"/>
        <c:noMultiLvlLbl val="0"/>
      </c:catAx>
      <c:valAx>
        <c:axId val="14591334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000" b="1" i="0" baseline="0"/>
                  <a:t>Концентрация, мг/дм³</a:t>
                </a:r>
                <a:endParaRPr lang="ru-RU" sz="1000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459118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>
            <a:solidFill>
              <a:schemeClr val="tx2">
                <a:lumMod val="50000"/>
              </a:schemeClr>
            </a:solidFill>
          </a:ln>
        </c:spPr>
      </c:dTable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4F4F4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4F4F4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4F4F4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4F4F4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4F4F4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4F4F4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2012-09-23T09:49:00Z</dcterms:created>
  <dcterms:modified xsi:type="dcterms:W3CDTF">2012-09-24T06:18:00Z</dcterms:modified>
</cp:coreProperties>
</file>